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7118" w:rsidRPr="000032C8" w:rsidRDefault="00927118" w:rsidP="00927118">
      <w:pPr>
        <w:adjustRightInd w:val="0"/>
        <w:spacing w:after="0" w:line="240" w:lineRule="auto"/>
        <w:jc w:val="center"/>
        <w:rPr>
          <w:rFonts w:ascii="Times New Roman" w:eastAsia="Times New Roman" w:hAnsi="Times New Roman" w:cs="Calibri"/>
          <w:b/>
          <w:caps/>
          <w:sz w:val="28"/>
          <w:szCs w:val="28"/>
        </w:rPr>
      </w:pPr>
      <w:bookmarkStart w:id="0" w:name="_GoBack"/>
      <w:bookmarkEnd w:id="0"/>
      <w:r w:rsidRPr="000032C8">
        <w:rPr>
          <w:rFonts w:ascii="Times New Roman" w:eastAsia="Times New Roman" w:hAnsi="Times New Roman" w:cs="Calibri"/>
          <w:b/>
          <w:caps/>
          <w:sz w:val="28"/>
          <w:szCs w:val="28"/>
        </w:rPr>
        <w:t>Vyhodnotenie medzirezortného pripomienkového konania</w:t>
      </w:r>
    </w:p>
    <w:p w:rsidR="00927118" w:rsidRPr="00024402" w:rsidRDefault="00927118" w:rsidP="00927118">
      <w:pPr>
        <w:jc w:val="center"/>
      </w:pPr>
    </w:p>
    <w:p w:rsidR="00E84E53" w:rsidRDefault="00E84E53">
      <w:pPr>
        <w:jc w:val="center"/>
        <w:divId w:val="96994990"/>
        <w:rPr>
          <w:rFonts w:ascii="Times" w:hAnsi="Times" w:cs="Times"/>
          <w:sz w:val="25"/>
          <w:szCs w:val="25"/>
        </w:rPr>
      </w:pPr>
      <w:r>
        <w:rPr>
          <w:rFonts w:ascii="Times" w:hAnsi="Times" w:cs="Times"/>
          <w:sz w:val="25"/>
          <w:szCs w:val="25"/>
        </w:rPr>
        <w:t xml:space="preserve">Aktualizácia Stratégie obnovy fondu bytových a nebytových budov v Slovenskej republike </w:t>
      </w:r>
    </w:p>
    <w:p w:rsidR="00927118" w:rsidRPr="00024402" w:rsidRDefault="00927118" w:rsidP="00CE47A6"/>
    <w:tbl>
      <w:tblPr>
        <w:tblW w:w="15598" w:type="dxa"/>
        <w:tblCellMar>
          <w:left w:w="0" w:type="dxa"/>
          <w:right w:w="0" w:type="dxa"/>
        </w:tblCellMar>
        <w:tblLook w:val="0000" w:firstRow="0" w:lastRow="0" w:firstColumn="0" w:lastColumn="0" w:noHBand="0" w:noVBand="0"/>
      </w:tblPr>
      <w:tblGrid>
        <w:gridCol w:w="7797"/>
        <w:gridCol w:w="7801"/>
      </w:tblGrid>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Spôsob pripomienkového konania</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r w:rsidRPr="00024402">
              <w:rPr>
                <w:rFonts w:ascii="Times New Roman" w:hAnsi="Times New Roman" w:cs="Calibri"/>
                <w:sz w:val="20"/>
                <w:szCs w:val="20"/>
              </w:rPr>
              <w:t> </w:t>
            </w:r>
          </w:p>
        </w:tc>
      </w:tr>
      <w:tr w:rsidR="00A251BF" w:rsidRPr="00024402" w:rsidTr="00B76589">
        <w:tc>
          <w:tcPr>
            <w:tcW w:w="7797" w:type="dxa"/>
            <w:tcBorders>
              <w:top w:val="nil"/>
              <w:left w:val="nil"/>
              <w:bottom w:val="nil"/>
              <w:right w:val="nil"/>
            </w:tcBorders>
          </w:tcPr>
          <w:p w:rsidR="00A251BF" w:rsidRPr="000032C8" w:rsidRDefault="00A251BF"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vznesených pripomienok, z toho zásadných</w:t>
            </w:r>
          </w:p>
        </w:tc>
        <w:tc>
          <w:tcPr>
            <w:tcW w:w="7801" w:type="dxa"/>
            <w:tcBorders>
              <w:top w:val="nil"/>
              <w:left w:val="nil"/>
              <w:bottom w:val="nil"/>
              <w:right w:val="nil"/>
            </w:tcBorders>
          </w:tcPr>
          <w:p w:rsidR="00A251BF" w:rsidRPr="00024402" w:rsidRDefault="00E84E53" w:rsidP="00E84E53">
            <w:pPr>
              <w:spacing w:after="0" w:line="240" w:lineRule="auto"/>
              <w:rPr>
                <w:rFonts w:ascii="Times New Roman" w:hAnsi="Times New Roman" w:cs="Calibri"/>
                <w:sz w:val="20"/>
                <w:szCs w:val="20"/>
              </w:rPr>
            </w:pPr>
            <w:r>
              <w:rPr>
                <w:rFonts w:ascii="Times" w:hAnsi="Times" w:cs="Times"/>
                <w:sz w:val="25"/>
                <w:szCs w:val="25"/>
              </w:rPr>
              <w:t>39 /0</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vyhodnotených pripomienok</w:t>
            </w:r>
          </w:p>
        </w:tc>
        <w:tc>
          <w:tcPr>
            <w:tcW w:w="7801" w:type="dxa"/>
            <w:tcBorders>
              <w:top w:val="nil"/>
              <w:left w:val="nil"/>
              <w:bottom w:val="nil"/>
              <w:right w:val="nil"/>
            </w:tcBorders>
          </w:tcPr>
          <w:p w:rsidR="00927118" w:rsidRPr="00024402" w:rsidRDefault="00E84E53" w:rsidP="00E84E53">
            <w:pPr>
              <w:spacing w:after="0" w:line="240" w:lineRule="auto"/>
              <w:rPr>
                <w:rFonts w:ascii="Times New Roman" w:hAnsi="Times New Roman" w:cs="Calibri"/>
                <w:sz w:val="20"/>
                <w:szCs w:val="20"/>
              </w:rPr>
            </w:pPr>
            <w:r>
              <w:rPr>
                <w:rFonts w:ascii="Times" w:hAnsi="Times" w:cs="Times"/>
                <w:sz w:val="25"/>
                <w:szCs w:val="25"/>
              </w:rPr>
              <w:t>39</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akceptovaných pripomienok, z toho zásadných</w:t>
            </w:r>
          </w:p>
        </w:tc>
        <w:tc>
          <w:tcPr>
            <w:tcW w:w="7801" w:type="dxa"/>
            <w:tcBorders>
              <w:top w:val="nil"/>
              <w:left w:val="nil"/>
              <w:bottom w:val="nil"/>
              <w:right w:val="nil"/>
            </w:tcBorders>
          </w:tcPr>
          <w:p w:rsidR="00927118" w:rsidRPr="00024402" w:rsidRDefault="00E84E53" w:rsidP="00E84E53">
            <w:pPr>
              <w:spacing w:after="0" w:line="240" w:lineRule="auto"/>
              <w:rPr>
                <w:rFonts w:ascii="Times New Roman" w:hAnsi="Times New Roman" w:cs="Calibri"/>
                <w:sz w:val="20"/>
                <w:szCs w:val="20"/>
              </w:rPr>
            </w:pPr>
            <w:r>
              <w:rPr>
                <w:rFonts w:ascii="Times" w:hAnsi="Times" w:cs="Times"/>
                <w:sz w:val="25"/>
                <w:szCs w:val="25"/>
              </w:rPr>
              <w:t>28 /0</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čiastočne akceptovaných pripomienok, z toho zásadných</w:t>
            </w:r>
          </w:p>
        </w:tc>
        <w:tc>
          <w:tcPr>
            <w:tcW w:w="7801" w:type="dxa"/>
            <w:tcBorders>
              <w:top w:val="nil"/>
              <w:left w:val="nil"/>
              <w:bottom w:val="nil"/>
              <w:right w:val="nil"/>
            </w:tcBorders>
          </w:tcPr>
          <w:p w:rsidR="00927118" w:rsidRPr="00024402" w:rsidRDefault="00E84E53" w:rsidP="00E84E53">
            <w:pPr>
              <w:spacing w:after="0" w:line="240" w:lineRule="auto"/>
              <w:rPr>
                <w:rFonts w:ascii="Times New Roman" w:hAnsi="Times New Roman" w:cs="Calibri"/>
                <w:sz w:val="20"/>
                <w:szCs w:val="20"/>
              </w:rPr>
            </w:pPr>
            <w:r>
              <w:rPr>
                <w:rFonts w:ascii="Times" w:hAnsi="Times" w:cs="Times"/>
                <w:sz w:val="25"/>
                <w:szCs w:val="25"/>
              </w:rPr>
              <w:t>4 /0</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neakceptovaných pripomienok, z toho zásadných</w:t>
            </w:r>
          </w:p>
        </w:tc>
        <w:tc>
          <w:tcPr>
            <w:tcW w:w="7801" w:type="dxa"/>
            <w:tcBorders>
              <w:top w:val="nil"/>
              <w:left w:val="nil"/>
              <w:bottom w:val="nil"/>
              <w:right w:val="nil"/>
            </w:tcBorders>
          </w:tcPr>
          <w:p w:rsidR="00927118" w:rsidRPr="00024402" w:rsidRDefault="00E84E53" w:rsidP="00E84E53">
            <w:pPr>
              <w:spacing w:after="0" w:line="240" w:lineRule="auto"/>
              <w:rPr>
                <w:rFonts w:ascii="Times New Roman" w:hAnsi="Times New Roman" w:cs="Calibri"/>
                <w:sz w:val="20"/>
                <w:szCs w:val="20"/>
              </w:rPr>
            </w:pPr>
            <w:r>
              <w:rPr>
                <w:rFonts w:ascii="Times" w:hAnsi="Times" w:cs="Times"/>
                <w:sz w:val="25"/>
                <w:szCs w:val="25"/>
              </w:rPr>
              <w:t>7 /0</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bCs/>
                <w:sz w:val="25"/>
                <w:szCs w:val="25"/>
              </w:rPr>
              <w:t>Rozporové konanie (s kým, kedy, s akým výsledkom)</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r w:rsidRPr="000032C8">
              <w:rPr>
                <w:rFonts w:ascii="Times New Roman" w:hAnsi="Times New Roman" w:cs="Calibri"/>
                <w:bCs/>
                <w:sz w:val="25"/>
                <w:szCs w:val="25"/>
              </w:rPr>
              <w:t>Počet odstránených pripomienok</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r w:rsidRPr="000032C8">
              <w:rPr>
                <w:rFonts w:ascii="Times New Roman" w:hAnsi="Times New Roman" w:cs="Calibri"/>
                <w:bCs/>
                <w:sz w:val="25"/>
                <w:szCs w:val="25"/>
              </w:rPr>
              <w:t>Počet neodstránených pripomienok</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bl>
    <w:p w:rsidR="00927118" w:rsidRPr="00024402" w:rsidRDefault="00927118" w:rsidP="00927118">
      <w:pPr>
        <w:spacing w:after="0" w:line="240" w:lineRule="auto"/>
        <w:rPr>
          <w:rFonts w:ascii="Times New Roman" w:hAnsi="Times New Roman" w:cs="Calibri"/>
          <w:b/>
          <w:sz w:val="20"/>
          <w:szCs w:val="20"/>
        </w:rPr>
      </w:pPr>
    </w:p>
    <w:p w:rsidR="00927118" w:rsidRPr="000032C8" w:rsidRDefault="00927118" w:rsidP="00927118">
      <w:pPr>
        <w:spacing w:after="0" w:line="240" w:lineRule="auto"/>
        <w:rPr>
          <w:sz w:val="25"/>
          <w:szCs w:val="25"/>
        </w:rPr>
      </w:pPr>
      <w:r w:rsidRPr="000032C8">
        <w:rPr>
          <w:rFonts w:ascii="Times New Roman" w:hAnsi="Times New Roman" w:cs="Calibri"/>
          <w:sz w:val="25"/>
          <w:szCs w:val="25"/>
        </w:rPr>
        <w:t>Sumarizácia vznesených pripomienok podľa subjektov</w:t>
      </w:r>
    </w:p>
    <w:p w:rsidR="00E84E53" w:rsidRDefault="00E84E53" w:rsidP="00841FA6"/>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328"/>
        <w:gridCol w:w="7738"/>
        <w:gridCol w:w="1404"/>
        <w:gridCol w:w="1404"/>
        <w:gridCol w:w="1391"/>
        <w:gridCol w:w="1040"/>
      </w:tblGrid>
      <w:tr w:rsidR="00E84E53">
        <w:trPr>
          <w:divId w:val="2084525606"/>
          <w:jc w:val="center"/>
        </w:trPr>
        <w:tc>
          <w:tcPr>
            <w:tcW w:w="1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Č.</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Subjekt</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Pripomienky do termínu</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Pripomienky po termíne</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Nemali pripomienky</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Vôbec nezaslali</w:t>
            </w:r>
          </w:p>
        </w:tc>
      </w:tr>
      <w:tr w:rsidR="00E84E53">
        <w:trPr>
          <w:divId w:val="2084525606"/>
          <w:jc w:val="center"/>
        </w:trPr>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1.</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rPr>
                <w:rFonts w:ascii="Times" w:hAnsi="Times" w:cs="Times"/>
                <w:sz w:val="25"/>
                <w:szCs w:val="25"/>
              </w:rPr>
            </w:pPr>
            <w:r>
              <w:rPr>
                <w:rFonts w:ascii="Times" w:hAnsi="Times" w:cs="Times"/>
                <w:sz w:val="25"/>
                <w:szCs w:val="25"/>
              </w:rPr>
              <w:t>Generálna prokuratúra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sz w:val="20"/>
                <w:szCs w:val="20"/>
              </w:rPr>
            </w:pPr>
          </w:p>
        </w:tc>
      </w:tr>
      <w:tr w:rsidR="00E84E53">
        <w:trPr>
          <w:divId w:val="2084525606"/>
          <w:jc w:val="center"/>
        </w:trPr>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2.</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rPr>
                <w:rFonts w:ascii="Times" w:hAnsi="Times" w:cs="Times"/>
                <w:sz w:val="25"/>
                <w:szCs w:val="25"/>
              </w:rPr>
            </w:pPr>
            <w:r>
              <w:rPr>
                <w:rFonts w:ascii="Times" w:hAnsi="Times" w:cs="Times"/>
                <w:sz w:val="25"/>
                <w:szCs w:val="25"/>
              </w:rPr>
              <w:t>Ministerstvo financií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sz w:val="20"/>
                <w:szCs w:val="20"/>
              </w:rPr>
            </w:pPr>
          </w:p>
        </w:tc>
      </w:tr>
      <w:tr w:rsidR="00E84E53">
        <w:trPr>
          <w:divId w:val="2084525606"/>
          <w:jc w:val="center"/>
        </w:trPr>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3.</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rPr>
                <w:rFonts w:ascii="Times" w:hAnsi="Times" w:cs="Times"/>
                <w:sz w:val="25"/>
                <w:szCs w:val="25"/>
              </w:rPr>
            </w:pPr>
            <w:r>
              <w:rPr>
                <w:rFonts w:ascii="Times" w:hAnsi="Times" w:cs="Times"/>
                <w:sz w:val="25"/>
                <w:szCs w:val="25"/>
              </w:rPr>
              <w:t>Ministerstvo hospodárstva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9 (9o,0z)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sz w:val="20"/>
                <w:szCs w:val="20"/>
              </w:rPr>
            </w:pPr>
          </w:p>
        </w:tc>
      </w:tr>
      <w:tr w:rsidR="00E84E53">
        <w:trPr>
          <w:divId w:val="2084525606"/>
          <w:jc w:val="center"/>
        </w:trPr>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4.</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rPr>
                <w:rFonts w:ascii="Times" w:hAnsi="Times" w:cs="Times"/>
                <w:sz w:val="25"/>
                <w:szCs w:val="25"/>
              </w:rPr>
            </w:pPr>
            <w:r>
              <w:rPr>
                <w:rFonts w:ascii="Times" w:hAnsi="Times" w:cs="Times"/>
                <w:sz w:val="25"/>
                <w:szCs w:val="25"/>
              </w:rPr>
              <w:t>Ministerstvo kultúry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sz w:val="20"/>
                <w:szCs w:val="20"/>
              </w:rPr>
            </w:pPr>
          </w:p>
        </w:tc>
      </w:tr>
      <w:tr w:rsidR="00E84E53">
        <w:trPr>
          <w:divId w:val="2084525606"/>
          <w:jc w:val="center"/>
        </w:trPr>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lastRenderedPageBreak/>
              <w:t>5.</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rPr>
                <w:rFonts w:ascii="Times" w:hAnsi="Times" w:cs="Times"/>
                <w:sz w:val="25"/>
                <w:szCs w:val="25"/>
              </w:rPr>
            </w:pPr>
            <w:r>
              <w:rPr>
                <w:rFonts w:ascii="Times" w:hAnsi="Times" w:cs="Times"/>
                <w:sz w:val="25"/>
                <w:szCs w:val="25"/>
              </w:rPr>
              <w:t>Ministerstvo obrany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sz w:val="20"/>
                <w:szCs w:val="20"/>
              </w:rPr>
            </w:pPr>
          </w:p>
        </w:tc>
      </w:tr>
      <w:tr w:rsidR="00E84E53">
        <w:trPr>
          <w:divId w:val="2084525606"/>
          <w:jc w:val="center"/>
        </w:trPr>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6.</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rPr>
                <w:rFonts w:ascii="Times" w:hAnsi="Times" w:cs="Times"/>
                <w:sz w:val="25"/>
                <w:szCs w:val="25"/>
              </w:rPr>
            </w:pPr>
            <w:r>
              <w:rPr>
                <w:rFonts w:ascii="Times" w:hAnsi="Times" w:cs="Times"/>
                <w:sz w:val="25"/>
                <w:szCs w:val="25"/>
              </w:rPr>
              <w:t>Ministerstvo pôdohospodárstva a rozvoja vidieka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sz w:val="20"/>
                <w:szCs w:val="20"/>
              </w:rPr>
            </w:pPr>
          </w:p>
        </w:tc>
      </w:tr>
      <w:tr w:rsidR="00E84E53">
        <w:trPr>
          <w:divId w:val="2084525606"/>
          <w:jc w:val="center"/>
        </w:trPr>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7.</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rPr>
                <w:rFonts w:ascii="Times" w:hAnsi="Times" w:cs="Times"/>
                <w:sz w:val="25"/>
                <w:szCs w:val="25"/>
              </w:rPr>
            </w:pPr>
            <w:r>
              <w:rPr>
                <w:rFonts w:ascii="Times" w:hAnsi="Times" w:cs="Times"/>
                <w:sz w:val="25"/>
                <w:szCs w:val="25"/>
              </w:rPr>
              <w:t>Ministerstvo práce, sociálnych vecí a rodiny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sz w:val="20"/>
                <w:szCs w:val="20"/>
              </w:rPr>
            </w:pPr>
          </w:p>
        </w:tc>
      </w:tr>
      <w:tr w:rsidR="00E84E53">
        <w:trPr>
          <w:divId w:val="2084525606"/>
          <w:jc w:val="center"/>
        </w:trPr>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8.</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rPr>
                <w:rFonts w:ascii="Times" w:hAnsi="Times" w:cs="Times"/>
                <w:sz w:val="25"/>
                <w:szCs w:val="25"/>
              </w:rPr>
            </w:pPr>
            <w:r>
              <w:rPr>
                <w:rFonts w:ascii="Times" w:hAnsi="Times" w:cs="Times"/>
                <w:sz w:val="25"/>
                <w:szCs w:val="25"/>
              </w:rPr>
              <w:t>Ministerstvo spravodlivosti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2 (2o,0z)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sz w:val="20"/>
                <w:szCs w:val="20"/>
              </w:rPr>
            </w:pPr>
          </w:p>
        </w:tc>
      </w:tr>
      <w:tr w:rsidR="00E84E53">
        <w:trPr>
          <w:divId w:val="2084525606"/>
          <w:jc w:val="center"/>
        </w:trPr>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9.</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rPr>
                <w:rFonts w:ascii="Times" w:hAnsi="Times" w:cs="Times"/>
                <w:sz w:val="25"/>
                <w:szCs w:val="25"/>
              </w:rPr>
            </w:pPr>
            <w:r>
              <w:rPr>
                <w:rFonts w:ascii="Times" w:hAnsi="Times" w:cs="Times"/>
                <w:sz w:val="25"/>
                <w:szCs w:val="25"/>
              </w:rPr>
              <w:t>Ministerstvo vnútra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sz w:val="20"/>
                <w:szCs w:val="20"/>
              </w:rPr>
            </w:pPr>
          </w:p>
        </w:tc>
      </w:tr>
      <w:tr w:rsidR="00E84E53">
        <w:trPr>
          <w:divId w:val="2084525606"/>
          <w:jc w:val="center"/>
        </w:trPr>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10.</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rPr>
                <w:rFonts w:ascii="Times" w:hAnsi="Times" w:cs="Times"/>
                <w:sz w:val="25"/>
                <w:szCs w:val="25"/>
              </w:rPr>
            </w:pPr>
            <w:r>
              <w:rPr>
                <w:rFonts w:ascii="Times" w:hAnsi="Times" w:cs="Times"/>
                <w:sz w:val="25"/>
                <w:szCs w:val="25"/>
              </w:rPr>
              <w:t>Ministerstvo zdravotníctva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sz w:val="20"/>
                <w:szCs w:val="20"/>
              </w:rPr>
            </w:pPr>
          </w:p>
        </w:tc>
      </w:tr>
      <w:tr w:rsidR="00E84E53">
        <w:trPr>
          <w:divId w:val="2084525606"/>
          <w:jc w:val="center"/>
        </w:trPr>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11.</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rPr>
                <w:rFonts w:ascii="Times" w:hAnsi="Times" w:cs="Times"/>
                <w:sz w:val="25"/>
                <w:szCs w:val="25"/>
              </w:rPr>
            </w:pPr>
            <w:r>
              <w:rPr>
                <w:rFonts w:ascii="Times" w:hAnsi="Times" w:cs="Times"/>
                <w:sz w:val="25"/>
                <w:szCs w:val="25"/>
              </w:rPr>
              <w:t>Ministerstvo životného prostredia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4 (4o,0z)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sz w:val="20"/>
                <w:szCs w:val="20"/>
              </w:rPr>
            </w:pPr>
          </w:p>
        </w:tc>
      </w:tr>
      <w:tr w:rsidR="00E84E53">
        <w:trPr>
          <w:divId w:val="2084525606"/>
          <w:jc w:val="center"/>
        </w:trPr>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12.</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rPr>
                <w:rFonts w:ascii="Times" w:hAnsi="Times" w:cs="Times"/>
                <w:sz w:val="25"/>
                <w:szCs w:val="25"/>
              </w:rPr>
            </w:pPr>
            <w:r>
              <w:rPr>
                <w:rFonts w:ascii="Times" w:hAnsi="Times" w:cs="Times"/>
                <w:sz w:val="25"/>
                <w:szCs w:val="25"/>
              </w:rPr>
              <w:t>Národná banka Slovenska</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sz w:val="20"/>
                <w:szCs w:val="20"/>
              </w:rPr>
            </w:pPr>
          </w:p>
        </w:tc>
      </w:tr>
      <w:tr w:rsidR="00E84E53">
        <w:trPr>
          <w:divId w:val="2084525606"/>
          <w:jc w:val="center"/>
        </w:trPr>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13.</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rPr>
                <w:rFonts w:ascii="Times" w:hAnsi="Times" w:cs="Times"/>
                <w:sz w:val="25"/>
                <w:szCs w:val="25"/>
              </w:rPr>
            </w:pPr>
            <w:r>
              <w:rPr>
                <w:rFonts w:ascii="Times" w:hAnsi="Times" w:cs="Times"/>
                <w:sz w:val="25"/>
                <w:szCs w:val="25"/>
              </w:rPr>
              <w:t>Protimonopolný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sz w:val="20"/>
                <w:szCs w:val="20"/>
              </w:rPr>
            </w:pPr>
          </w:p>
        </w:tc>
      </w:tr>
      <w:tr w:rsidR="00E84E53">
        <w:trPr>
          <w:divId w:val="2084525606"/>
          <w:jc w:val="center"/>
        </w:trPr>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14.</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rPr>
                <w:rFonts w:ascii="Times" w:hAnsi="Times" w:cs="Times"/>
                <w:sz w:val="25"/>
                <w:szCs w:val="25"/>
              </w:rPr>
            </w:pPr>
            <w:r>
              <w:rPr>
                <w:rFonts w:ascii="Times" w:hAnsi="Times" w:cs="Times"/>
                <w:sz w:val="25"/>
                <w:szCs w:val="25"/>
              </w:rPr>
              <w:t>Splnomocnenec vlády Slovenskej republiky pre rómske komunity</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sz w:val="20"/>
                <w:szCs w:val="20"/>
              </w:rPr>
            </w:pPr>
          </w:p>
        </w:tc>
      </w:tr>
      <w:tr w:rsidR="00E84E53">
        <w:trPr>
          <w:divId w:val="2084525606"/>
          <w:jc w:val="center"/>
        </w:trPr>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15.</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rPr>
                <w:rFonts w:ascii="Times" w:hAnsi="Times" w:cs="Times"/>
                <w:sz w:val="25"/>
                <w:szCs w:val="25"/>
              </w:rPr>
            </w:pPr>
            <w:r>
              <w:rPr>
                <w:rFonts w:ascii="Times" w:hAnsi="Times" w:cs="Times"/>
                <w:sz w:val="25"/>
                <w:szCs w:val="25"/>
              </w:rPr>
              <w:t>Štatistický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4 (4o,0z)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sz w:val="20"/>
                <w:szCs w:val="20"/>
              </w:rPr>
            </w:pPr>
          </w:p>
        </w:tc>
      </w:tr>
      <w:tr w:rsidR="00E84E53">
        <w:trPr>
          <w:divId w:val="2084525606"/>
          <w:jc w:val="center"/>
        </w:trPr>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16.</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rPr>
                <w:rFonts w:ascii="Times" w:hAnsi="Times" w:cs="Times"/>
                <w:sz w:val="25"/>
                <w:szCs w:val="25"/>
              </w:rPr>
            </w:pPr>
            <w:r>
              <w:rPr>
                <w:rFonts w:ascii="Times" w:hAnsi="Times" w:cs="Times"/>
                <w:sz w:val="25"/>
                <w:szCs w:val="25"/>
              </w:rPr>
              <w:t>Úrad geodézie, kartografie a katastra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sz w:val="20"/>
                <w:szCs w:val="20"/>
              </w:rPr>
            </w:pPr>
          </w:p>
        </w:tc>
      </w:tr>
      <w:tr w:rsidR="00E84E53">
        <w:trPr>
          <w:divId w:val="2084525606"/>
          <w:jc w:val="center"/>
        </w:trPr>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17.</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rPr>
                <w:rFonts w:ascii="Times" w:hAnsi="Times" w:cs="Times"/>
                <w:sz w:val="25"/>
                <w:szCs w:val="25"/>
              </w:rPr>
            </w:pPr>
            <w:r>
              <w:rPr>
                <w:rFonts w:ascii="Times" w:hAnsi="Times" w:cs="Times"/>
                <w:sz w:val="25"/>
                <w:szCs w:val="25"/>
              </w:rPr>
              <w:t>Úrad jadrového dozoru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sz w:val="20"/>
                <w:szCs w:val="20"/>
              </w:rPr>
            </w:pPr>
          </w:p>
        </w:tc>
      </w:tr>
      <w:tr w:rsidR="00E84E53">
        <w:trPr>
          <w:divId w:val="2084525606"/>
          <w:jc w:val="center"/>
        </w:trPr>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18.</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rPr>
                <w:rFonts w:ascii="Times" w:hAnsi="Times" w:cs="Times"/>
                <w:sz w:val="25"/>
                <w:szCs w:val="25"/>
              </w:rPr>
            </w:pPr>
            <w:r>
              <w:rPr>
                <w:rFonts w:ascii="Times" w:hAnsi="Times" w:cs="Times"/>
                <w:sz w:val="25"/>
                <w:szCs w:val="25"/>
              </w:rPr>
              <w:t>Úrad pre normalizáciu, metrológiu a skúšobníctvo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5 (5o,0z)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sz w:val="20"/>
                <w:szCs w:val="20"/>
              </w:rPr>
            </w:pPr>
          </w:p>
        </w:tc>
      </w:tr>
      <w:tr w:rsidR="00E84E53">
        <w:trPr>
          <w:divId w:val="2084525606"/>
          <w:jc w:val="center"/>
        </w:trPr>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19.</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rPr>
                <w:rFonts w:ascii="Times" w:hAnsi="Times" w:cs="Times"/>
                <w:sz w:val="25"/>
                <w:szCs w:val="25"/>
              </w:rPr>
            </w:pPr>
            <w:r>
              <w:rPr>
                <w:rFonts w:ascii="Times" w:hAnsi="Times" w:cs="Times"/>
                <w:sz w:val="25"/>
                <w:szCs w:val="25"/>
              </w:rPr>
              <w:t>Úrad priemyselného vlastníctva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sz w:val="20"/>
                <w:szCs w:val="20"/>
              </w:rPr>
            </w:pPr>
          </w:p>
        </w:tc>
      </w:tr>
      <w:tr w:rsidR="00E84E53">
        <w:trPr>
          <w:divId w:val="2084525606"/>
          <w:jc w:val="center"/>
        </w:trPr>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20.</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rPr>
                <w:rFonts w:ascii="Times" w:hAnsi="Times" w:cs="Times"/>
                <w:sz w:val="25"/>
                <w:szCs w:val="25"/>
              </w:rPr>
            </w:pPr>
            <w:r>
              <w:rPr>
                <w:rFonts w:ascii="Times" w:hAnsi="Times" w:cs="Times"/>
                <w:sz w:val="25"/>
                <w:szCs w:val="25"/>
              </w:rPr>
              <w:t>Verejnosť</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sz w:val="20"/>
                <w:szCs w:val="20"/>
              </w:rPr>
            </w:pPr>
          </w:p>
        </w:tc>
      </w:tr>
      <w:tr w:rsidR="00E84E53">
        <w:trPr>
          <w:divId w:val="2084525606"/>
          <w:jc w:val="center"/>
        </w:trPr>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21.</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rPr>
                <w:rFonts w:ascii="Times" w:hAnsi="Times" w:cs="Times"/>
                <w:sz w:val="25"/>
                <w:szCs w:val="25"/>
              </w:rPr>
            </w:pPr>
            <w:r>
              <w:rPr>
                <w:rFonts w:ascii="Times" w:hAnsi="Times" w:cs="Times"/>
                <w:sz w:val="25"/>
                <w:szCs w:val="25"/>
              </w:rPr>
              <w:t>Národný bezpečnostný úrad</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r>
      <w:tr w:rsidR="00E84E53">
        <w:trPr>
          <w:divId w:val="2084525606"/>
          <w:jc w:val="center"/>
        </w:trPr>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lastRenderedPageBreak/>
              <w:t>22.</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rPr>
                <w:rFonts w:ascii="Times" w:hAnsi="Times" w:cs="Times"/>
                <w:sz w:val="25"/>
                <w:szCs w:val="25"/>
              </w:rPr>
            </w:pPr>
            <w:r>
              <w:rPr>
                <w:rFonts w:ascii="Times" w:hAnsi="Times" w:cs="Times"/>
                <w:sz w:val="25"/>
                <w:szCs w:val="25"/>
              </w:rPr>
              <w:t>Ministerstvo školstva, vedy, výskumu a športu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r>
      <w:tr w:rsidR="00E84E53">
        <w:trPr>
          <w:divId w:val="2084525606"/>
          <w:jc w:val="center"/>
        </w:trPr>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23.</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rPr>
                <w:rFonts w:ascii="Times" w:hAnsi="Times" w:cs="Times"/>
                <w:sz w:val="25"/>
                <w:szCs w:val="25"/>
              </w:rPr>
            </w:pPr>
            <w:r>
              <w:rPr>
                <w:rFonts w:ascii="Times" w:hAnsi="Times" w:cs="Times"/>
                <w:sz w:val="25"/>
                <w:szCs w:val="25"/>
              </w:rPr>
              <w:t>Ministerstvo zahraničných vecí a európskych záležitostí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x</w:t>
            </w:r>
          </w:p>
        </w:tc>
      </w:tr>
      <w:tr w:rsidR="00E84E53">
        <w:trPr>
          <w:divId w:val="2084525606"/>
          <w:jc w:val="center"/>
        </w:trPr>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24.</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rPr>
                <w:rFonts w:ascii="Times" w:hAnsi="Times" w:cs="Times"/>
                <w:sz w:val="25"/>
                <w:szCs w:val="25"/>
              </w:rPr>
            </w:pPr>
            <w:r>
              <w:rPr>
                <w:rFonts w:ascii="Times" w:hAnsi="Times" w:cs="Times"/>
                <w:sz w:val="25"/>
                <w:szCs w:val="25"/>
              </w:rPr>
              <w:t>Úrad vlády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x</w:t>
            </w:r>
          </w:p>
        </w:tc>
      </w:tr>
      <w:tr w:rsidR="00E84E53">
        <w:trPr>
          <w:divId w:val="2084525606"/>
          <w:jc w:val="center"/>
        </w:trPr>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25.</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rPr>
                <w:rFonts w:ascii="Times" w:hAnsi="Times" w:cs="Times"/>
                <w:sz w:val="25"/>
                <w:szCs w:val="25"/>
              </w:rPr>
            </w:pPr>
            <w:r>
              <w:rPr>
                <w:rFonts w:ascii="Times" w:hAnsi="Times" w:cs="Times"/>
                <w:sz w:val="25"/>
                <w:szCs w:val="25"/>
              </w:rPr>
              <w:t>Úrad pre verejné obstarávanie</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x</w:t>
            </w:r>
          </w:p>
        </w:tc>
      </w:tr>
      <w:tr w:rsidR="00E84E53">
        <w:trPr>
          <w:divId w:val="2084525606"/>
          <w:jc w:val="center"/>
        </w:trPr>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26.</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rPr>
                <w:rFonts w:ascii="Times" w:hAnsi="Times" w:cs="Times"/>
                <w:sz w:val="25"/>
                <w:szCs w:val="25"/>
              </w:rPr>
            </w:pPr>
            <w:r>
              <w:rPr>
                <w:rFonts w:ascii="Times" w:hAnsi="Times" w:cs="Times"/>
                <w:sz w:val="25"/>
                <w:szCs w:val="25"/>
              </w:rPr>
              <w:t>Správa štátnych hmotných rezerv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x</w:t>
            </w:r>
          </w:p>
        </w:tc>
      </w:tr>
      <w:tr w:rsidR="00E84E53">
        <w:trPr>
          <w:divId w:val="2084525606"/>
          <w:jc w:val="center"/>
        </w:trPr>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27.</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rPr>
                <w:rFonts w:ascii="Times" w:hAnsi="Times" w:cs="Times"/>
                <w:sz w:val="25"/>
                <w:szCs w:val="25"/>
              </w:rPr>
            </w:pPr>
            <w:r>
              <w:rPr>
                <w:rFonts w:ascii="Times" w:hAnsi="Times" w:cs="Times"/>
                <w:sz w:val="25"/>
                <w:szCs w:val="25"/>
              </w:rPr>
              <w:t>Najvyšší kontrolný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x</w:t>
            </w:r>
          </w:p>
        </w:tc>
      </w:tr>
      <w:tr w:rsidR="00E84E53">
        <w:trPr>
          <w:divId w:val="2084525606"/>
          <w:jc w:val="center"/>
        </w:trPr>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28.</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rPr>
                <w:rFonts w:ascii="Times" w:hAnsi="Times" w:cs="Times"/>
                <w:sz w:val="25"/>
                <w:szCs w:val="25"/>
              </w:rPr>
            </w:pPr>
            <w:r>
              <w:rPr>
                <w:rFonts w:ascii="Times" w:hAnsi="Times" w:cs="Times"/>
                <w:sz w:val="25"/>
                <w:szCs w:val="25"/>
              </w:rPr>
              <w:t>Najvyšší súd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x</w:t>
            </w:r>
          </w:p>
        </w:tc>
      </w:tr>
      <w:tr w:rsidR="00E84E53">
        <w:trPr>
          <w:divId w:val="2084525606"/>
          <w:jc w:val="center"/>
        </w:trPr>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29.</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rPr>
                <w:rFonts w:ascii="Times" w:hAnsi="Times" w:cs="Times"/>
                <w:sz w:val="25"/>
                <w:szCs w:val="25"/>
              </w:rPr>
            </w:pPr>
            <w:r>
              <w:rPr>
                <w:rFonts w:ascii="Times" w:hAnsi="Times" w:cs="Times"/>
                <w:sz w:val="25"/>
                <w:szCs w:val="25"/>
              </w:rPr>
              <w:t>Národná rada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x</w:t>
            </w:r>
          </w:p>
        </w:tc>
      </w:tr>
      <w:tr w:rsidR="00E84E53">
        <w:trPr>
          <w:divId w:val="2084525606"/>
          <w:jc w:val="center"/>
        </w:trPr>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30.</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rPr>
                <w:rFonts w:ascii="Times" w:hAnsi="Times" w:cs="Times"/>
                <w:sz w:val="25"/>
                <w:szCs w:val="25"/>
              </w:rPr>
            </w:pPr>
            <w:r>
              <w:rPr>
                <w:rFonts w:ascii="Times" w:hAnsi="Times" w:cs="Times"/>
                <w:sz w:val="25"/>
                <w:szCs w:val="25"/>
              </w:rPr>
              <w:t>Kancelária Ústavného súdu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x</w:t>
            </w:r>
          </w:p>
        </w:tc>
      </w:tr>
      <w:tr w:rsidR="00E84E53">
        <w:trPr>
          <w:divId w:val="2084525606"/>
          <w:jc w:val="center"/>
        </w:trPr>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31.</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rPr>
                <w:rFonts w:ascii="Times" w:hAnsi="Times" w:cs="Times"/>
                <w:sz w:val="25"/>
                <w:szCs w:val="25"/>
              </w:rPr>
            </w:pPr>
            <w:r>
              <w:rPr>
                <w:rFonts w:ascii="Times" w:hAnsi="Times" w:cs="Times"/>
                <w:sz w:val="25"/>
                <w:szCs w:val="25"/>
              </w:rPr>
              <w:t>Kancelária prezidenta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x</w:t>
            </w:r>
          </w:p>
        </w:tc>
      </w:tr>
      <w:tr w:rsidR="00E84E53">
        <w:trPr>
          <w:divId w:val="2084525606"/>
          <w:jc w:val="center"/>
        </w:trPr>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32.</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rPr>
                <w:rFonts w:ascii="Times" w:hAnsi="Times" w:cs="Times"/>
                <w:sz w:val="25"/>
                <w:szCs w:val="25"/>
              </w:rPr>
            </w:pPr>
            <w:r>
              <w:rPr>
                <w:rFonts w:ascii="Times" w:hAnsi="Times" w:cs="Times"/>
                <w:sz w:val="25"/>
                <w:szCs w:val="25"/>
              </w:rPr>
              <w:t>Odbor aproximácie práva sekcie vládnej legislatívy Úradu vlády SR</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x</w:t>
            </w:r>
          </w:p>
        </w:tc>
      </w:tr>
      <w:tr w:rsidR="00E84E53">
        <w:trPr>
          <w:divId w:val="2084525606"/>
          <w:jc w:val="center"/>
        </w:trPr>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33.</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rPr>
                <w:rFonts w:ascii="Times" w:hAnsi="Times" w:cs="Times"/>
                <w:sz w:val="25"/>
                <w:szCs w:val="25"/>
              </w:rPr>
            </w:pPr>
            <w:r>
              <w:rPr>
                <w:rFonts w:ascii="Times" w:hAnsi="Times" w:cs="Times"/>
                <w:sz w:val="25"/>
                <w:szCs w:val="25"/>
              </w:rPr>
              <w:t>Slovenská poľnohospodárska a potravinárska komora</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x</w:t>
            </w:r>
          </w:p>
        </w:tc>
      </w:tr>
      <w:tr w:rsidR="00E84E53">
        <w:trPr>
          <w:divId w:val="2084525606"/>
          <w:jc w:val="center"/>
        </w:trPr>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34.</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rPr>
                <w:rFonts w:ascii="Times" w:hAnsi="Times" w:cs="Times"/>
                <w:sz w:val="25"/>
                <w:szCs w:val="25"/>
              </w:rPr>
            </w:pPr>
            <w:r>
              <w:rPr>
                <w:rFonts w:ascii="Times" w:hAnsi="Times" w:cs="Times"/>
                <w:sz w:val="25"/>
                <w:szCs w:val="25"/>
              </w:rPr>
              <w:t>Združenie miest a obcí Slovenska</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x</w:t>
            </w:r>
          </w:p>
        </w:tc>
      </w:tr>
      <w:tr w:rsidR="00E84E53">
        <w:trPr>
          <w:divId w:val="2084525606"/>
          <w:jc w:val="center"/>
        </w:trPr>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35.</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rPr>
                <w:rFonts w:ascii="Times" w:hAnsi="Times" w:cs="Times"/>
                <w:sz w:val="25"/>
                <w:szCs w:val="25"/>
              </w:rPr>
            </w:pPr>
            <w:r>
              <w:rPr>
                <w:rFonts w:ascii="Times" w:hAnsi="Times" w:cs="Times"/>
                <w:sz w:val="25"/>
                <w:szCs w:val="25"/>
              </w:rPr>
              <w:t>Konfederácia odborových zväzov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x</w:t>
            </w:r>
          </w:p>
        </w:tc>
      </w:tr>
      <w:tr w:rsidR="00E84E53">
        <w:trPr>
          <w:divId w:val="2084525606"/>
          <w:jc w:val="center"/>
        </w:trPr>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36.</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rPr>
                <w:rFonts w:ascii="Times" w:hAnsi="Times" w:cs="Times"/>
                <w:sz w:val="25"/>
                <w:szCs w:val="25"/>
              </w:rPr>
            </w:pPr>
            <w:r>
              <w:rPr>
                <w:rFonts w:ascii="Times" w:hAnsi="Times" w:cs="Times"/>
                <w:sz w:val="25"/>
                <w:szCs w:val="25"/>
              </w:rPr>
              <w:t>Asociácia zamestnávatelských zväzov a združení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x</w:t>
            </w:r>
          </w:p>
        </w:tc>
      </w:tr>
      <w:tr w:rsidR="00E84E53">
        <w:trPr>
          <w:divId w:val="2084525606"/>
          <w:jc w:val="center"/>
        </w:trPr>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37.</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rPr>
                <w:rFonts w:ascii="Times" w:hAnsi="Times" w:cs="Times"/>
                <w:sz w:val="25"/>
                <w:szCs w:val="25"/>
              </w:rPr>
            </w:pPr>
            <w:r>
              <w:rPr>
                <w:rFonts w:ascii="Times" w:hAnsi="Times" w:cs="Times"/>
                <w:sz w:val="25"/>
                <w:szCs w:val="25"/>
              </w:rPr>
              <w:t>Republiková únia zamestnávateľov</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x</w:t>
            </w:r>
          </w:p>
        </w:tc>
      </w:tr>
      <w:tr w:rsidR="00E84E53">
        <w:trPr>
          <w:divId w:val="2084525606"/>
          <w:jc w:val="center"/>
        </w:trPr>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lastRenderedPageBreak/>
              <w:t>38.</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rPr>
                <w:rFonts w:ascii="Times" w:hAnsi="Times" w:cs="Times"/>
                <w:sz w:val="25"/>
                <w:szCs w:val="25"/>
              </w:rPr>
            </w:pPr>
            <w:r>
              <w:rPr>
                <w:rFonts w:ascii="Times" w:hAnsi="Times" w:cs="Times"/>
                <w:sz w:val="25"/>
                <w:szCs w:val="25"/>
              </w:rPr>
              <w:t>Úrad pre dohľad nad zdravotnou starostlivosťou</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x</w:t>
            </w:r>
          </w:p>
        </w:tc>
      </w:tr>
      <w:tr w:rsidR="00E84E53">
        <w:trPr>
          <w:divId w:val="2084525606"/>
          <w:jc w:val="center"/>
        </w:trPr>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39.</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rPr>
                <w:rFonts w:ascii="Times" w:hAnsi="Times" w:cs="Times"/>
                <w:sz w:val="25"/>
                <w:szCs w:val="25"/>
              </w:rPr>
            </w:pPr>
            <w:r>
              <w:rPr>
                <w:rFonts w:ascii="Times" w:hAnsi="Times" w:cs="Times"/>
                <w:sz w:val="25"/>
                <w:szCs w:val="25"/>
              </w:rPr>
              <w:t>Úrad podpredsedu vlády Slovenskej republiky pre investície a informatizáciu</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x</w:t>
            </w:r>
          </w:p>
        </w:tc>
      </w:tr>
      <w:tr w:rsidR="00E84E53">
        <w:trPr>
          <w:divId w:val="2084525606"/>
          <w:jc w:val="center"/>
        </w:trPr>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40.</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rPr>
                <w:rFonts w:ascii="Times" w:hAnsi="Times" w:cs="Times"/>
                <w:sz w:val="25"/>
                <w:szCs w:val="25"/>
              </w:rPr>
            </w:pPr>
            <w:r>
              <w:rPr>
                <w:rFonts w:ascii="Times" w:hAnsi="Times" w:cs="Times"/>
                <w:sz w:val="25"/>
                <w:szCs w:val="25"/>
              </w:rPr>
              <w:t>Konferencia biskupov Slovenska</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x</w:t>
            </w:r>
          </w:p>
        </w:tc>
      </w:tr>
      <w:tr w:rsidR="00E84E53">
        <w:trPr>
          <w:divId w:val="2084525606"/>
          <w:jc w:val="center"/>
        </w:trPr>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41.</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rPr>
                <w:rFonts w:ascii="Times" w:hAnsi="Times" w:cs="Times"/>
                <w:sz w:val="25"/>
                <w:szCs w:val="25"/>
              </w:rPr>
            </w:pPr>
            <w:r>
              <w:rPr>
                <w:rFonts w:ascii="Times" w:hAnsi="Times" w:cs="Times"/>
                <w:sz w:val="25"/>
                <w:szCs w:val="25"/>
              </w:rPr>
              <w:t>Ministerstvo dopravy a výstavby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x</w:t>
            </w:r>
          </w:p>
        </w:tc>
      </w:tr>
      <w:tr w:rsidR="00E84E53">
        <w:trPr>
          <w:divId w:val="2084525606"/>
          <w:jc w:val="center"/>
        </w:trPr>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rPr>
                <w:rFonts w:ascii="Times" w:hAnsi="Times" w:cs="Times"/>
                <w:sz w:val="25"/>
                <w:szCs w:val="25"/>
              </w:rPr>
            </w:pPr>
            <w:r>
              <w:rPr>
                <w:rFonts w:ascii="Times" w:hAnsi="Times" w:cs="Times"/>
                <w:sz w:val="25"/>
                <w:szCs w:val="25"/>
              </w:rPr>
              <w:t>Spolu</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39 (39o,0z)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E84E53" w:rsidRDefault="00E84E53">
            <w:pPr>
              <w:jc w:val="center"/>
              <w:rPr>
                <w:sz w:val="20"/>
                <w:szCs w:val="20"/>
              </w:rPr>
            </w:pPr>
          </w:p>
        </w:tc>
      </w:tr>
    </w:tbl>
    <w:p w:rsidR="00BF7CE0" w:rsidRPr="00BF7CE0" w:rsidRDefault="00BF7CE0" w:rsidP="00841FA6">
      <w:pPr>
        <w:rPr>
          <w:b/>
          <w:bCs/>
          <w:color w:val="000000"/>
          <w:sz w:val="20"/>
          <w:szCs w:val="20"/>
        </w:rPr>
      </w:pPr>
      <w:r w:rsidRPr="009F7218">
        <w:rPr>
          <w:rFonts w:ascii="Times New Roman" w:eastAsia="Times New Roman" w:hAnsi="Times New Roman" w:cs="Times New Roman"/>
          <w:bCs/>
          <w:color w:val="000000"/>
          <w:sz w:val="25"/>
          <w:szCs w:val="25"/>
          <w:lang w:eastAsia="sk-SK"/>
        </w:rPr>
        <w:t>Vyhodnotenie vecných pripomienok je uvedené v tabuľkovej časti.</w:t>
      </w:r>
    </w:p>
    <w:p w:rsidR="00BF7CE0" w:rsidRPr="00BF7CE0" w:rsidRDefault="00BF7CE0" w:rsidP="00BF7CE0">
      <w:pPr>
        <w:pStyle w:val="Zkladntext"/>
        <w:widowControl/>
        <w:jc w:val="both"/>
        <w:rPr>
          <w:b w:val="0"/>
          <w:bCs w:val="0"/>
          <w:color w:val="000000"/>
          <w:sz w:val="20"/>
          <w:szCs w:val="20"/>
        </w:rPr>
      </w:pPr>
    </w:p>
    <w:tbl>
      <w:tblPr>
        <w:tblW w:w="0" w:type="auto"/>
        <w:tblLook w:val="0000" w:firstRow="0" w:lastRow="0" w:firstColumn="0" w:lastColumn="0" w:noHBand="0" w:noVBand="0"/>
      </w:tblPr>
      <w:tblGrid>
        <w:gridCol w:w="1809"/>
        <w:gridCol w:w="3119"/>
      </w:tblGrid>
      <w:tr w:rsidR="00BF7CE0" w:rsidRPr="00BF7CE0" w:rsidTr="00943EB2">
        <w:trPr>
          <w:cantSplit/>
        </w:trPr>
        <w:tc>
          <w:tcPr>
            <w:tcW w:w="4928" w:type="dxa"/>
            <w:gridSpan w:val="2"/>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Vysvetlivky  k použitým skratkám v tabuľke:</w:t>
            </w:r>
          </w:p>
        </w:tc>
      </w:tr>
      <w:tr w:rsidR="00BF7CE0" w:rsidRPr="00BF7CE0"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O – obyčajná</w:t>
            </w: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A – akceptovaná</w:t>
            </w:r>
          </w:p>
        </w:tc>
      </w:tr>
      <w:tr w:rsidR="00BF7CE0" w:rsidRPr="00BF7CE0"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Z – zásadná</w:t>
            </w: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N – neakceptovaná</w:t>
            </w:r>
          </w:p>
        </w:tc>
      </w:tr>
      <w:tr w:rsidR="00BF7CE0" w:rsidRPr="00856FFA"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ČA – čiastočne akceptovaná</w:t>
            </w:r>
          </w:p>
        </w:tc>
      </w:tr>
    </w:tbl>
    <w:p w:rsidR="00E85710" w:rsidRDefault="00E85710">
      <w:r>
        <w:br w:type="page"/>
      </w:r>
    </w:p>
    <w:p w:rsidR="00E84E53" w:rsidRDefault="00E84E53" w:rsidP="00CE47A6">
      <w:pPr>
        <w:rPr>
          <w:rFonts w:ascii="Consolas" w:hAnsi="Consolas" w:cs="Consolas"/>
          <w:sz w:val="20"/>
          <w:szCs w:val="20"/>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1330"/>
        <w:gridCol w:w="6653"/>
        <w:gridCol w:w="665"/>
        <w:gridCol w:w="665"/>
        <w:gridCol w:w="3992"/>
      </w:tblGrid>
      <w:tr w:rsidR="00E84E53">
        <w:trPr>
          <w:divId w:val="1641229559"/>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Subjekt</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Pripomienka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Typ</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Vyh.</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Spôsob vyhodnotenia</w:t>
            </w:r>
          </w:p>
        </w:tc>
      </w:tr>
      <w:tr w:rsidR="00E84E53">
        <w:trPr>
          <w:divId w:val="1641229559"/>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GPSR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rsidP="004F289B">
            <w:pPr>
              <w:rPr>
                <w:rFonts w:ascii="Times" w:hAnsi="Times" w:cs="Times"/>
                <w:sz w:val="25"/>
                <w:szCs w:val="25"/>
              </w:rPr>
            </w:pPr>
            <w:r>
              <w:rPr>
                <w:rFonts w:ascii="Times" w:hAnsi="Times" w:cs="Times"/>
                <w:sz w:val="25"/>
                <w:szCs w:val="25"/>
              </w:rPr>
              <w:t>vzaté na vedomie</w:t>
            </w:r>
          </w:p>
        </w:tc>
      </w:tr>
      <w:tr w:rsidR="00E84E53">
        <w:trPr>
          <w:divId w:val="1641229559"/>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sz w:val="25"/>
                <w:szCs w:val="25"/>
              </w:rPr>
              <w:br/>
              <w:t>Berieme na vedomie, že z návrhu aktualizácie stratégie nevyplývajú požiadavky na rozpočet verejnej správy.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sz w:val="25"/>
                <w:szCs w:val="25"/>
              </w:rPr>
              <w:t>vzaté na vedomie</w:t>
            </w:r>
          </w:p>
        </w:tc>
      </w:tr>
      <w:tr w:rsidR="00E84E53">
        <w:trPr>
          <w:divId w:val="1641229559"/>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MHSR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b/>
                <w:bCs/>
                <w:sz w:val="25"/>
                <w:szCs w:val="25"/>
              </w:rPr>
              <w:t>prílohe č. 8</w:t>
            </w:r>
            <w:r>
              <w:rPr>
                <w:rFonts w:ascii="Times" w:hAnsi="Times" w:cs="Times"/>
                <w:sz w:val="25"/>
                <w:szCs w:val="25"/>
              </w:rPr>
              <w:br/>
              <w:t xml:space="preserve">Na základe skúseností s doterajším vyhodnocovaním úspor energie v rámci prípravy akčných plánov energetickej efektívnosti a ročných správ o pokroku pri plnení národných cieľov energetickej efektívnosti upozorňujeme, že uvedené hodnoty potenciálu úspor energie do roku 2020 v kategórii rodinné domy výrazne presahujú dosiaľ monitorované hodnoty úspor energie v tejto kategórii za roky 2014-2016. Zároveň odporúčame aktualizovať analýzu potenciálu úspor energie pre jednotlivé kategórie budov s prihliadnutím na skutkový stav. Odôvodnenie: Výrazný rozdiel medzi uvedenými hodnotami potenciálu úspor energie v kategórii rodinné domy v porovnaní s dosiaľ monitorovanými hodnotami úspor energie v tejto kategórii za roky 2014-2016.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sz w:val="25"/>
                <w:szCs w:val="25"/>
              </w:rPr>
              <w:t xml:space="preserve">Potenciál úspor energie je predpokladaná hodnota a monitorované hodnoty úspor energie je konkrétna hodnota. Uvedené hodnoty nemôžu byť totožné, ak sa obnova nevykonala na úroveň minimálnych požiadaviek EHB. </w:t>
            </w:r>
          </w:p>
        </w:tc>
      </w:tr>
      <w:tr w:rsidR="00E84E53">
        <w:trPr>
          <w:divId w:val="1641229559"/>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MHSR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b/>
                <w:bCs/>
                <w:sz w:val="25"/>
                <w:szCs w:val="25"/>
              </w:rPr>
              <w:t>doložke vybraných vplyvov</w:t>
            </w:r>
            <w:r>
              <w:rPr>
                <w:rFonts w:ascii="Times" w:hAnsi="Times" w:cs="Times"/>
                <w:sz w:val="25"/>
                <w:szCs w:val="25"/>
              </w:rPr>
              <w:br/>
              <w:t xml:space="preserve">Odporúčame v časti „5. Alternatívne riešenia“ navrhujeme doplniť nasledovné znenie: „Alternatíva 0: zachovanie súčasného stavu – vysvetlenie, prečo to nie je vhodné. Alternatíva 1: zvolená </w:t>
            </w:r>
            <w:r>
              <w:rPr>
                <w:rFonts w:ascii="Times" w:hAnsi="Times" w:cs="Times"/>
                <w:sz w:val="25"/>
                <w:szCs w:val="25"/>
              </w:rPr>
              <w:lastRenderedPageBreak/>
              <w:t xml:space="preserve">alternatíva – vysvetlenie, prečo bola zvolená práve táto alternatíva.“ Prípadne ako alternatívne riešenia je možné použiť alternatívne riešenia, ktoré sú uvádzané vo vlastnom materiáli.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sz w:val="25"/>
                <w:szCs w:val="25"/>
              </w:rPr>
              <w:t xml:space="preserve">Nie je možné uviesť alternatívy, pretože stratégia odráža kontinuálny, ale zároveň meniaci sa proces a smeruje k stálemu zlepšovaniu </w:t>
            </w:r>
            <w:r>
              <w:rPr>
                <w:rFonts w:ascii="Times" w:hAnsi="Times" w:cs="Times"/>
                <w:sz w:val="25"/>
                <w:szCs w:val="25"/>
              </w:rPr>
              <w:lastRenderedPageBreak/>
              <w:t>energetickej hospodárnosti budov. Zároveň je jednoznačne určený legislatívny rámec.</w:t>
            </w:r>
          </w:p>
        </w:tc>
      </w:tr>
      <w:tr w:rsidR="00E84E53">
        <w:trPr>
          <w:divId w:val="1641229559"/>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lastRenderedPageBreak/>
              <w:t>MHSR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b/>
                <w:bCs/>
                <w:sz w:val="25"/>
                <w:szCs w:val="25"/>
              </w:rPr>
              <w:t>doložke vybraných vplyvov</w:t>
            </w:r>
            <w:r>
              <w:rPr>
                <w:rFonts w:ascii="Times" w:hAnsi="Times" w:cs="Times"/>
                <w:sz w:val="25"/>
                <w:szCs w:val="25"/>
              </w:rPr>
              <w:br/>
              <w:t>Odporúčame v časti „7. Transpozícia práva EÚ“ uviesť informáciu z predkladacej správy, že vypracovanie stratégie vyplýva zo smernice a zákona.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sz w:val="25"/>
                <w:szCs w:val="25"/>
              </w:rPr>
              <w:t>Uvedený bod sa vypĺňa iba v prípade, ak predkladateľ označil v doložke v bode 1, že ide o transpozíciu práva EÚ.</w:t>
            </w:r>
          </w:p>
        </w:tc>
      </w:tr>
      <w:tr w:rsidR="00E84E53">
        <w:trPr>
          <w:divId w:val="1641229559"/>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MHSR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b/>
                <w:bCs/>
                <w:sz w:val="25"/>
                <w:szCs w:val="25"/>
              </w:rPr>
              <w:t>vlastnému materiálu</w:t>
            </w:r>
            <w:r>
              <w:rPr>
                <w:rFonts w:ascii="Times" w:hAnsi="Times" w:cs="Times"/>
                <w:sz w:val="25"/>
                <w:szCs w:val="25"/>
              </w:rPr>
              <w:br/>
              <w:t xml:space="preserve">V kapitole 2.2 upozorňujeme na rozpor v dĺžke životnosti rozvodov tepla, ktoré sa pre CZT zaraďujú do kategórie 25 až 30 rokov a nie 20 až 25 rokov. Odôvodnenie: Potreba zosúladenia s vyhláškou MH SR č. 327/2015 Z. z.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rsidP="004F289B">
            <w:pPr>
              <w:rPr>
                <w:rFonts w:ascii="Times" w:hAnsi="Times" w:cs="Times"/>
                <w:sz w:val="25"/>
                <w:szCs w:val="25"/>
              </w:rPr>
            </w:pPr>
            <w:r>
              <w:rPr>
                <w:rFonts w:ascii="Times" w:hAnsi="Times" w:cs="Times"/>
                <w:sz w:val="25"/>
                <w:szCs w:val="25"/>
              </w:rPr>
              <w:t>čísla upravené v súlade s pripomienkou</w:t>
            </w:r>
          </w:p>
        </w:tc>
      </w:tr>
      <w:tr w:rsidR="00E84E53">
        <w:trPr>
          <w:divId w:val="1641229559"/>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MHSR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b/>
                <w:bCs/>
                <w:sz w:val="25"/>
                <w:szCs w:val="25"/>
              </w:rPr>
              <w:t>vlastnému materiálu</w:t>
            </w:r>
            <w:r>
              <w:rPr>
                <w:rFonts w:ascii="Times" w:hAnsi="Times" w:cs="Times"/>
                <w:sz w:val="25"/>
                <w:szCs w:val="25"/>
              </w:rPr>
              <w:br/>
              <w:t xml:space="preserve">V kapitole 2.3 odporúčame upraviť vetu „Dosiahnutie takmer nulovej úrovne potreby energie pri všetkých nových a obnovovaných budovách si vyžaduje efektívne využitie obnoviteľných zdrojov energie v budovách, preto je v budúcnosti vhodné podporovať zdroje s nižším výkonom.“ na „Dosiahnutie takmer nulovej úrovne potreby energie pri všetkých nových a obnovovaných budovách si vyžaduje efektívne využitie zdrojov a preto je vhodné navrhovať zdroj na hodnoty po obnove budovy.“ Odôvodnenie: Upozorňujeme, že obnoviteľné zdroje energie je možné používať nielen v budovách, ale podľa smernice 2010/31/EÚ by ich malo byť možné rovnocenne započítať aj pri výrobe elektriny dodanej zo siete a tepla dodaného z CZT.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sz w:val="25"/>
                <w:szCs w:val="25"/>
              </w:rPr>
              <w:t xml:space="preserve">Vypustená časť textu, pretože všeobecnou podmienkou pre dosiahnutie úrovne takmer nulovej potreby energie v budove, je potrebné efektívne využitie obnoviteľných zdrojov energie. </w:t>
            </w:r>
          </w:p>
        </w:tc>
      </w:tr>
      <w:tr w:rsidR="00E84E53">
        <w:trPr>
          <w:divId w:val="1641229559"/>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lastRenderedPageBreak/>
              <w:t>MHSR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b/>
                <w:bCs/>
                <w:sz w:val="25"/>
                <w:szCs w:val="25"/>
              </w:rPr>
              <w:t>prílohe č. 6</w:t>
            </w:r>
            <w:r>
              <w:rPr>
                <w:rFonts w:ascii="Times" w:hAnsi="Times" w:cs="Times"/>
                <w:sz w:val="25"/>
                <w:szCs w:val="25"/>
              </w:rPr>
              <w:br/>
              <w:t>V prílohe 6 odporúčame doplniť do tabuliek č. 3, 8, 9 a 10 novšie hodnoty, ak sú k dispozícií.</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sz w:val="25"/>
                <w:szCs w:val="25"/>
              </w:rPr>
              <w:t>Novšie hodnoty nie sú k dispozícii.</w:t>
            </w:r>
          </w:p>
        </w:tc>
      </w:tr>
      <w:tr w:rsidR="00E84E53">
        <w:trPr>
          <w:divId w:val="1641229559"/>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MHSR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b/>
                <w:bCs/>
                <w:sz w:val="25"/>
                <w:szCs w:val="25"/>
              </w:rPr>
              <w:t>prílohe č.8</w:t>
            </w:r>
            <w:r>
              <w:rPr>
                <w:rFonts w:ascii="Times" w:hAnsi="Times" w:cs="Times"/>
                <w:sz w:val="25"/>
                <w:szCs w:val="25"/>
              </w:rPr>
              <w:br/>
              <w:t xml:space="preserve">V prílohe 8 odporúčame spresniť, či ide o úspory energie vo forme primárnej energetickej spotreby alebo konečnej energetickej spotreby. Odôvodnenie: Z uvedených údajov nie je zrejmé, či sa v úsporách energie zohľadňujú obnoviteľné zdroje energie alebo nie.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rsidP="004F289B">
            <w:pPr>
              <w:rPr>
                <w:rFonts w:ascii="Times" w:hAnsi="Times" w:cs="Times"/>
                <w:sz w:val="25"/>
                <w:szCs w:val="25"/>
              </w:rPr>
            </w:pPr>
            <w:r>
              <w:rPr>
                <w:rFonts w:ascii="Times" w:hAnsi="Times" w:cs="Times"/>
                <w:sz w:val="25"/>
                <w:szCs w:val="25"/>
              </w:rPr>
              <w:t>text upravený v súlade s pripomienkou</w:t>
            </w:r>
          </w:p>
        </w:tc>
      </w:tr>
      <w:tr w:rsidR="00E84E53">
        <w:trPr>
          <w:divId w:val="1641229559"/>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MHSR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b/>
                <w:bCs/>
                <w:sz w:val="25"/>
                <w:szCs w:val="25"/>
              </w:rPr>
              <w:t>prílohe č. 5</w:t>
            </w:r>
            <w:r>
              <w:rPr>
                <w:rFonts w:ascii="Times" w:hAnsi="Times" w:cs="Times"/>
                <w:sz w:val="25"/>
                <w:szCs w:val="25"/>
              </w:rPr>
              <w:br/>
              <w:t>V prílohe č. 5 odporúčame upraviť životnosti v súlade s vyhláškou MH SR č. 327/2015 Z. 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rsidP="004F289B">
            <w:pPr>
              <w:rPr>
                <w:rFonts w:ascii="Times" w:hAnsi="Times" w:cs="Times"/>
                <w:sz w:val="25"/>
                <w:szCs w:val="25"/>
              </w:rPr>
            </w:pPr>
            <w:r>
              <w:rPr>
                <w:rFonts w:ascii="Times" w:hAnsi="Times" w:cs="Times"/>
                <w:sz w:val="25"/>
                <w:szCs w:val="25"/>
              </w:rPr>
              <w:t>text upravený v súlade s pripomienkou</w:t>
            </w:r>
          </w:p>
        </w:tc>
      </w:tr>
      <w:tr w:rsidR="00E84E53">
        <w:trPr>
          <w:divId w:val="1641229559"/>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MHSR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b/>
                <w:bCs/>
                <w:sz w:val="25"/>
                <w:szCs w:val="25"/>
              </w:rPr>
              <w:t>vlastnému materiálu</w:t>
            </w:r>
            <w:r>
              <w:rPr>
                <w:rFonts w:ascii="Times" w:hAnsi="Times" w:cs="Times"/>
                <w:sz w:val="25"/>
                <w:szCs w:val="25"/>
              </w:rPr>
              <w:br/>
              <w:t>V úvode materiálu odporúčame doplniť odkaz na zákon č. 321/2014 Z.z. o energetickej efektívnosti, na základe ktorého sa táto stratégia vydáva.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rsidP="004F289B">
            <w:pPr>
              <w:rPr>
                <w:rFonts w:ascii="Times" w:hAnsi="Times" w:cs="Times"/>
                <w:sz w:val="25"/>
                <w:szCs w:val="25"/>
              </w:rPr>
            </w:pPr>
            <w:r>
              <w:rPr>
                <w:rFonts w:ascii="Times" w:hAnsi="Times" w:cs="Times"/>
                <w:sz w:val="25"/>
                <w:szCs w:val="25"/>
              </w:rPr>
              <w:t>text upravený v súlade s pripomienkou</w:t>
            </w:r>
          </w:p>
        </w:tc>
      </w:tr>
      <w:tr w:rsidR="00E84E53">
        <w:trPr>
          <w:divId w:val="1641229559"/>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MKSR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 xml:space="preserve">Všeobecne k materiálu: Materiál kopíruje "Stratégiu obnovy fondu bytových a nebytových budov v Slovenskej republike z roku 2014" a až na pár drobných úprav v bodoch 2.2, 2.4.1, 3.1.1, 3.1.2 a 3.2.1 , kde boli vsunuté jeden až dva odseky, je aktualizovaný len bod 4.1 až 4.1.3. , ktorý reaguje na potreby prehlbovania kvalifikácie v stavebnom sektore a bod 5. 1.V bode 1.2.1 odporúčame tabuľku 2 vypustiť alebo aktualizovať tak, aby korešpondovala s textom a neuvádzala počet obnovených bytov v </w:t>
            </w:r>
            <w:r>
              <w:rPr>
                <w:rFonts w:ascii="Times" w:hAnsi="Times" w:cs="Times"/>
                <w:sz w:val="25"/>
                <w:szCs w:val="25"/>
              </w:rPr>
              <w:lastRenderedPageBreak/>
              <w:t>bytových a rodinných domoch ,ale počet obnovených resp. zateplených bytových budov a rodinných domov. Byty ako také nje je možné zatepľovať, ale zatepľuje sa celý bytový dom alebo rodinný dom. 2.Odporúčame aktualizovať bod 2.1.2.1 vzhľadom na prevod vlastníctva budov z majetku štátu a samospráv do vlastníctva iných subjektov od roku 2003.Táto pripomienka sa týka aj bodu 2.1.2.2, pretože nie je zrejmé z tabuľky 6 identifikovať k akému termínu sú údaje aktuálne. 3.Súčasne odporúčame zvážiť, vzhľadom na znenie prvého odseku "Úvodu", podľa ktorého sa má materiál aktualizovať každé tri roky, v závere materiálu aktualizovať a doplniť úlohy pre budúce obdobie a to najmä vo vzťahu k bodom 4.1 až 4.1.3 a 5 návrhu.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rsidP="004F289B">
            <w:pPr>
              <w:rPr>
                <w:rFonts w:ascii="Times" w:hAnsi="Times" w:cs="Times"/>
                <w:sz w:val="25"/>
                <w:szCs w:val="25"/>
              </w:rPr>
            </w:pPr>
            <w:r>
              <w:rPr>
                <w:rFonts w:ascii="Times" w:hAnsi="Times" w:cs="Times"/>
                <w:sz w:val="25"/>
                <w:szCs w:val="25"/>
              </w:rPr>
              <w:t xml:space="preserve">1.Tabuľka má svoju výpovednú hodnotu a štatistické údaje, ktoré sú zisťované ŠÚ SR sú vedené v počtoch bytov nie budov. 2.Novšie zisťovanie budov podľa ich vlastníkov nie je k dispozícii. 3. Uvedené body obsahujú informácie o projektoch, ktoré sú zamerané na zlepšovanie možnosti obnovy budov a sú určené podľa </w:t>
            </w:r>
            <w:r>
              <w:rPr>
                <w:rFonts w:ascii="Times" w:hAnsi="Times" w:cs="Times"/>
                <w:sz w:val="25"/>
                <w:szCs w:val="25"/>
              </w:rPr>
              <w:lastRenderedPageBreak/>
              <w:t>zamerania subjektom z</w:t>
            </w:r>
            <w:r w:rsidR="004F289B">
              <w:rPr>
                <w:rFonts w:ascii="Times" w:hAnsi="Times" w:cs="Times"/>
                <w:sz w:val="25"/>
                <w:szCs w:val="25"/>
              </w:rPr>
              <w:t>ú</w:t>
            </w:r>
            <w:r>
              <w:rPr>
                <w:rFonts w:ascii="Times" w:hAnsi="Times" w:cs="Times"/>
                <w:sz w:val="25"/>
                <w:szCs w:val="25"/>
              </w:rPr>
              <w:t>častňujúcim sa na procese obnovy budov.</w:t>
            </w:r>
          </w:p>
        </w:tc>
      </w:tr>
      <w:tr w:rsidR="00E84E53">
        <w:trPr>
          <w:divId w:val="1641229559"/>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lastRenderedPageBreak/>
              <w:t>MOSR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sz w:val="25"/>
                <w:szCs w:val="25"/>
              </w:rPr>
              <w:t>vzaté na vedomie</w:t>
            </w:r>
          </w:p>
        </w:tc>
      </w:tr>
      <w:tr w:rsidR="00E84E53">
        <w:trPr>
          <w:divId w:val="1641229559"/>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MPRVSR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 xml:space="preserve">Odporúčame zapracovať, resp. zohľadniť vo vlastnom materiály informáciu o iniciatíve JESSICA, ktorá bola vykonaná, po prvé, v rámci ROP, po druhé, v rámci OPBK a má zjavnú relevanciu pre predmetný materiál. Pripomienku považujeme za „obyčajnú“. Vlastný materiál, str. 7, kapitola 1.2.2 Stav v obnove nebytových budov Odporúčame do pôvodného znenia odseku: „V roku 2012 bolo z Regionálneho operačného programu 2007 – 2013 v rámci prioritnej osi 1 Infraštruktúra vzdelávania, opatrenie 1.1 riadne ukončených 610 projektov, z toho 506 základných, 56 materských a 48 stredných škôl, v rámci prioritnej osi 2 Infraštruktúra sociálnych služieb, sociálnoprávnej ochrany a sociálnej kurately bolo ukončených 21 projektov, v rámci prioritnej osi 3 Posilnenie </w:t>
            </w:r>
            <w:r>
              <w:rPr>
                <w:rFonts w:ascii="Times" w:hAnsi="Times" w:cs="Times"/>
                <w:sz w:val="25"/>
                <w:szCs w:val="25"/>
              </w:rPr>
              <w:lastRenderedPageBreak/>
              <w:t xml:space="preserve">kultúrneho potenciálu regiónov a infraštruktúra cestovného ruchu, opatrenie 3.1 bolo ukončených 6 projektov a 45 projektov v stave realizácie a v rámci prioritnej osi 4 Regenerácia sídel, opatrenie 4.2 nekomerčné záchranné služby bolo riadne ukončených 77 projektov.“. Zapracovať údaje uvedené v tabuľke č. 1 vznesených pripomienok, a to z hľadiska správnosti údajov (uvedených čísel ). Zdôvodnenie: Sme toho názoru, že by bolo prínosnejšie uviesť kompletné údaje o ROP a OPBK za celé programové obdobie a nie iba k roku 2012. Zároveň dávame do pozornosti znenie prekladacej správy, v ktorej je uvedené: „stratégia bola doplnená o nové informácie za obdobie rokov 2014 až 2016“. Pre toto znenie, by bolo vhodné rozšíriť údaje až do konca roka 2016, resp. uviesť údaje do konca roka 2014 (koniec OP ROP a OPBK). Pripomienku považujeme z obsahového hľadiska za „obyčajnú“. Odporúčame upraviť text: - údaje obrázku č. 2 vlastného materiálu na str. 11 sú uvedené, že vychádzajú z SODB 2001, avšak v grafe sú údaje do roku 2011; - graf na str. 15 nemá popis, ako ani označenie osi - y; - graf na str. 21 odporúčame označiť os - y; - odporúčame aj zjednotenie fondu.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sz w:val="25"/>
                <w:szCs w:val="25"/>
              </w:rPr>
              <w:t>Informácie o výške finančných prostriedkov poskytovaných v rámci iniciatívy JESSICA sú uvedené v prílohe č. 2. Text doplnený do časti 3.2.1.</w:t>
            </w:r>
          </w:p>
        </w:tc>
      </w:tr>
      <w:tr w:rsidR="00E84E53">
        <w:trPr>
          <w:divId w:val="1641229559"/>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MPSVRSR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rsidP="004F289B">
            <w:pPr>
              <w:rPr>
                <w:rFonts w:ascii="Times" w:hAnsi="Times" w:cs="Times"/>
                <w:sz w:val="25"/>
                <w:szCs w:val="25"/>
              </w:rPr>
            </w:pPr>
            <w:r>
              <w:rPr>
                <w:rFonts w:ascii="Times" w:hAnsi="Times" w:cs="Times"/>
                <w:sz w:val="25"/>
                <w:szCs w:val="25"/>
              </w:rPr>
              <w:t>vzaté na vedomie</w:t>
            </w:r>
          </w:p>
        </w:tc>
      </w:tr>
      <w:tr w:rsidR="00E84E53">
        <w:trPr>
          <w:divId w:val="1641229559"/>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b/>
                <w:bCs/>
                <w:sz w:val="25"/>
                <w:szCs w:val="25"/>
              </w:rPr>
              <w:t>K návrhu uznesenia vlády Slovenskej republiky</w:t>
            </w:r>
            <w:r>
              <w:rPr>
                <w:rFonts w:ascii="Times" w:hAnsi="Times" w:cs="Times"/>
                <w:sz w:val="25"/>
                <w:szCs w:val="25"/>
              </w:rPr>
              <w:br/>
              <w:t xml:space="preserve">Odporúčame predkladateľovi dopracovať návrh uznesenia vlády, predovšetkým dopracovať časť „ukladá“, „Vykonajú“ a „Na vedomie“, keďže sme toho názoru, že ide o nový dokument, ktorý aktualizuje Stratégiu obnovy fondu bytových a nebytových budov </w:t>
            </w:r>
            <w:r>
              <w:rPr>
                <w:rFonts w:ascii="Times" w:hAnsi="Times" w:cs="Times"/>
                <w:sz w:val="25"/>
                <w:szCs w:val="25"/>
              </w:rPr>
              <w:lastRenderedPageBreak/>
              <w:t xml:space="preserve">v Slovenskej republike.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rsidP="004F289B">
            <w:pPr>
              <w:rPr>
                <w:rFonts w:ascii="Times" w:hAnsi="Times" w:cs="Times"/>
                <w:sz w:val="25"/>
                <w:szCs w:val="25"/>
              </w:rPr>
            </w:pPr>
            <w:r>
              <w:rPr>
                <w:rFonts w:ascii="Times" w:hAnsi="Times" w:cs="Times"/>
                <w:sz w:val="25"/>
                <w:szCs w:val="25"/>
              </w:rPr>
              <w:t>uznesenie doplnené v súlade s pripomienkou</w:t>
            </w:r>
          </w:p>
        </w:tc>
      </w:tr>
      <w:tr w:rsidR="00E84E53">
        <w:trPr>
          <w:divId w:val="1641229559"/>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b/>
                <w:bCs/>
                <w:sz w:val="25"/>
                <w:szCs w:val="25"/>
              </w:rPr>
              <w:t>K predkladacej správe</w:t>
            </w:r>
            <w:r>
              <w:rPr>
                <w:rFonts w:ascii="Times" w:hAnsi="Times" w:cs="Times"/>
                <w:sz w:val="25"/>
                <w:szCs w:val="25"/>
              </w:rPr>
              <w:br/>
              <w:t xml:space="preserve">Odporúčame predkladateľovi v poslednom odseku vypustiť poslednú vetu: „Predkladaný materiál bol predmetom pripomienkového konania a jeho vyhodnotenie je súčasťou materiálu.“, nakoľko medzirezortné pripomienkové konanie ešte len prebieha. Rovnako odporúčame predkladateľovi v šiestom odseku nahradiť slovo „potreby“, umiestené na konci tretieho riadku, slovom „spotreby“.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sz w:val="25"/>
                <w:szCs w:val="25"/>
              </w:rPr>
              <w:t>Vetu nie je možné vypustiť, pretože materiál je v znení ako bude predložený do vlády a túto vetu musí obsahovať. Slovo bolo opravené v súlade s pripomienkou.</w:t>
            </w:r>
          </w:p>
        </w:tc>
      </w:tr>
      <w:tr w:rsidR="00E84E53">
        <w:trPr>
          <w:divId w:val="1641229559"/>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MVSR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rsidP="004F289B">
            <w:pPr>
              <w:rPr>
                <w:rFonts w:ascii="Times" w:hAnsi="Times" w:cs="Times"/>
                <w:sz w:val="25"/>
                <w:szCs w:val="25"/>
              </w:rPr>
            </w:pPr>
            <w:r>
              <w:rPr>
                <w:rFonts w:ascii="Times" w:hAnsi="Times" w:cs="Times"/>
                <w:sz w:val="25"/>
                <w:szCs w:val="25"/>
              </w:rPr>
              <w:t>vzaté na vedomie</w:t>
            </w:r>
          </w:p>
        </w:tc>
      </w:tr>
      <w:tr w:rsidR="00E84E53">
        <w:trPr>
          <w:divId w:val="1641229559"/>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MZSR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b/>
                <w:bCs/>
                <w:sz w:val="25"/>
                <w:szCs w:val="25"/>
              </w:rPr>
              <w:t>k celému materiálu</w:t>
            </w: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rsidP="004F289B">
            <w:pPr>
              <w:rPr>
                <w:rFonts w:ascii="Times" w:hAnsi="Times" w:cs="Times"/>
                <w:sz w:val="25"/>
                <w:szCs w:val="25"/>
              </w:rPr>
            </w:pPr>
            <w:r>
              <w:rPr>
                <w:rFonts w:ascii="Times" w:hAnsi="Times" w:cs="Times"/>
                <w:sz w:val="25"/>
                <w:szCs w:val="25"/>
              </w:rPr>
              <w:t>vzaté na vedomie</w:t>
            </w:r>
          </w:p>
        </w:tc>
      </w:tr>
      <w:tr w:rsidR="00E84E53">
        <w:trPr>
          <w:divId w:val="1641229559"/>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MŽPSR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b/>
                <w:bCs/>
                <w:sz w:val="25"/>
                <w:szCs w:val="25"/>
              </w:rPr>
              <w:t>Doložke vplyvov</w:t>
            </w:r>
            <w:r>
              <w:rPr>
                <w:rFonts w:ascii="Times" w:hAnsi="Times" w:cs="Times"/>
                <w:sz w:val="25"/>
                <w:szCs w:val="25"/>
              </w:rPr>
              <w:br/>
              <w:t xml:space="preserve">Aj keď sa priamo v doložke vplyvov uvádza, že „Návrh aktualizácie nemení pôvodné vplyvy Stratégie obnovy fondu bytových a nebytových budov v Slovenskej republike a preto nie sú analyzované“, odporúčame doložku vplyvov aktualizovať minimálne v miere pôvodnej Stratégie obnovy fondu bytových a nebytových budov v Slovenskej republike, ktorá bola schválená uznesením vlády SR č. 347/2014 zo dňa 9.7. 2014. Zároveň žiadame vyhodnotiť a kvantifikovať pozitívne vplyvy na životné prostredie.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sz w:val="25"/>
                <w:szCs w:val="25"/>
              </w:rPr>
              <w:t xml:space="preserve">Predkladateľ je toho názoru, že nie je potrebné uvádzať informácie, ktoré sú uvedené v predchádzajúcom materiáli a sú k dispozícii. Zároveň predložený materiál nemá nové vplyvy a preto sa nemení predpokladaný potenciál úspor energie (nie skutočná spotreba) ako bol vyhodnotený v časti "5 Vplyv na životné prostredie" v pôvodnom materiáli. </w:t>
            </w:r>
          </w:p>
        </w:tc>
      </w:tr>
      <w:tr w:rsidR="00E84E53">
        <w:trPr>
          <w:divId w:val="1641229559"/>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MŽPSR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b/>
                <w:bCs/>
                <w:sz w:val="25"/>
                <w:szCs w:val="25"/>
              </w:rPr>
              <w:t>Vlastnému materiálu</w:t>
            </w:r>
            <w:r>
              <w:rPr>
                <w:rFonts w:ascii="Times" w:hAnsi="Times" w:cs="Times"/>
                <w:sz w:val="25"/>
                <w:szCs w:val="25"/>
              </w:rPr>
              <w:br/>
              <w:t xml:space="preserve">Odporúčame v grafe na str. 15 doplniť chýbajúci popis grafu, a </w:t>
            </w:r>
            <w:r>
              <w:rPr>
                <w:rFonts w:ascii="Times" w:hAnsi="Times" w:cs="Times"/>
                <w:sz w:val="25"/>
                <w:szCs w:val="25"/>
              </w:rPr>
              <w:lastRenderedPageBreak/>
              <w:t xml:space="preserve">označenie osi - y; Odporúčame v grafe na str. 27 odporúčame doplniť označenie osi - y; Odporúčame aj zjednotenie fontu v celom materiáli.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rsidP="004F289B">
            <w:pPr>
              <w:rPr>
                <w:rFonts w:ascii="Times" w:hAnsi="Times" w:cs="Times"/>
                <w:sz w:val="25"/>
                <w:szCs w:val="25"/>
              </w:rPr>
            </w:pPr>
            <w:r>
              <w:rPr>
                <w:rFonts w:ascii="Times" w:hAnsi="Times" w:cs="Times"/>
                <w:sz w:val="25"/>
                <w:szCs w:val="25"/>
              </w:rPr>
              <w:t>text upravený v súlade s pripomienkou</w:t>
            </w:r>
          </w:p>
        </w:tc>
      </w:tr>
      <w:tr w:rsidR="00E84E53">
        <w:trPr>
          <w:divId w:val="1641229559"/>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MŽPSR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b/>
                <w:bCs/>
                <w:sz w:val="25"/>
                <w:szCs w:val="25"/>
              </w:rPr>
              <w:t>Návrhu uznesenia vlády</w:t>
            </w:r>
            <w:r>
              <w:rPr>
                <w:rFonts w:ascii="Times" w:hAnsi="Times" w:cs="Times"/>
                <w:sz w:val="25"/>
                <w:szCs w:val="25"/>
              </w:rPr>
              <w:br/>
              <w:t>V uznesení vlády chýba informácia, kto má dané uznesenie vykonať. Žiadame doplniť.</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rsidP="004F289B">
            <w:pPr>
              <w:rPr>
                <w:rFonts w:ascii="Times" w:hAnsi="Times" w:cs="Times"/>
                <w:sz w:val="25"/>
                <w:szCs w:val="25"/>
              </w:rPr>
            </w:pPr>
            <w:r>
              <w:rPr>
                <w:rFonts w:ascii="Times" w:hAnsi="Times" w:cs="Times"/>
                <w:sz w:val="25"/>
                <w:szCs w:val="25"/>
              </w:rPr>
              <w:t>uznesenie doplnené v súlade s pripomienkou</w:t>
            </w:r>
          </w:p>
        </w:tc>
      </w:tr>
      <w:tr w:rsidR="00E84E53">
        <w:trPr>
          <w:divId w:val="1641229559"/>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MŽPSR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b/>
                <w:bCs/>
                <w:sz w:val="25"/>
                <w:szCs w:val="25"/>
              </w:rPr>
              <w:t>Vlastnému materiálu</w:t>
            </w:r>
            <w:r>
              <w:rPr>
                <w:rFonts w:ascii="Times" w:hAnsi="Times" w:cs="Times"/>
                <w:sz w:val="25"/>
                <w:szCs w:val="25"/>
              </w:rPr>
              <w:br/>
              <w:t xml:space="preserve">Žiadame do materiálu uviesť, že pri obnove nebytového fondu, ktorý sa týka budov vo vlastníctve a správe štátu je nevyhnutné dôsledne uplatňovať zásady zeleného verejného obstarávania v súlade s uznesením vlády SR č. 590/2016. Odôvodnenie: V zmysle úloh B.4 a B.5 predmetného uznesenia vlády SR sú ministri a predsedovia ÚOŠS povinní uplatňovať princípy zeleného verejného obstarávania v rámci svojej pôsobnosti každoročne do roku 2020. Z doterajšej praxe a tiež pravidelného vyhodnocovania plnenia Národného akčného plánu pre zelené verejné obstarávanie vyplýva, že toto uznesenie sa dodržiava viac menej formálne, a práve obnova nebytového fondu realizovaná z verejných zdrojov je ideálnym príkladom uplatnenia zeleného verejného obstarávania v praxi – odporúčame uznesením zaviazať ministrov vlády SR a predsedov ÚOŠS, aby obnovu nebytových fondov na úrovni ministerstiev, ÚOŠS a ich podriadených organizácií realizovali v súlade s požiadavkami zeleného verejného obstarávania. Podľa materiálu v členských štátoch Európskej únie príkladom pre nebytové budovy má byť obnova verejných budov a z nich predovšetkým obnova budov ÚOŠS. Na návrh opatrení na energetickú efektívnosť v ústredných orgánoch </w:t>
            </w:r>
            <w:r>
              <w:rPr>
                <w:rFonts w:ascii="Times" w:hAnsi="Times" w:cs="Times"/>
                <w:sz w:val="25"/>
                <w:szCs w:val="25"/>
              </w:rPr>
              <w:lastRenderedPageBreak/>
              <w:t xml:space="preserve">štátnej správy v rámci povinnej obnovy budov ÚOŠS je možné využiť v rokoch 2014 až 2020 v rámci OP Kvalita životného prostredia finančné prostriedky určené pre obnovu verejných budov mimo bratislavského kraja vo výške 350 až 370 mil. eur, čo vytvára veľký potenciál pre využitie zeleného verejného obstarávania.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sz w:val="25"/>
                <w:szCs w:val="25"/>
              </w:rPr>
              <w:t>Predkladateľ je toho názoru, že by došlo k duplicite, pretože ÚOŠS sú zaviazané už prijatým uznesením vlády č. 590/2016 a predkladaný materiál svojim obsahom sa nevenuje verejnému obstarávaniu zabezpečenia obnovy budovy, ale jej smerovaním a dopadmi.</w:t>
            </w:r>
          </w:p>
        </w:tc>
      </w:tr>
      <w:tr w:rsidR="00E84E53">
        <w:trPr>
          <w:divId w:val="1641229559"/>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NBS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sz w:val="25"/>
                <w:szCs w:val="25"/>
              </w:rPr>
              <w:t>vzaté na vedomie</w:t>
            </w:r>
          </w:p>
        </w:tc>
      </w:tr>
      <w:tr w:rsidR="00E84E53">
        <w:trPr>
          <w:divId w:val="1641229559"/>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PMÚSR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sz w:val="25"/>
                <w:szCs w:val="25"/>
              </w:rPr>
              <w:t>vzaté na vedomie</w:t>
            </w:r>
          </w:p>
        </w:tc>
      </w:tr>
      <w:tr w:rsidR="00E84E53">
        <w:trPr>
          <w:divId w:val="1641229559"/>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SVSLPRK</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b/>
                <w:bCs/>
                <w:sz w:val="25"/>
                <w:szCs w:val="25"/>
              </w:rPr>
              <w:t>vlastný materiál, kapitola 3.2.1., str. 21</w:t>
            </w:r>
            <w:r>
              <w:rPr>
                <w:rFonts w:ascii="Times" w:hAnsi="Times" w:cs="Times"/>
                <w:sz w:val="25"/>
                <w:szCs w:val="25"/>
              </w:rPr>
              <w:br/>
              <w:t xml:space="preserve">Do vlastného materiálu, najmä do kapitoly 3.2.1 -Požiadavky na formy podpory bytových budov od roku 2014, žiadame zapracovať s ohľadom na zabezpečenie podmienok úspešného napredovania integrácie Rómov: a) problematiku regenerácie/obnovy existujúceho bytového fondu osídlení marginalizovaných rómskych komunít s poukazom na materiál Dlhodobá koncepcia bývania pre marginalizované skupiny obyvateľstva, uznesenie vlády Slovenskej republiky č. č. 63 z 19. januára 2005 k návrhu dlhodobej koncepcie bývania pre marginalizované skupiny obyvateľstva a modelu jej financovania, b) v súlade so smernicou Európskeho parlamentu a Rady 2010/31/EÚ o energetickej hospodárnosti budov (Ú. v. EÚ L 153, 18.6.2010, v prepojení na na kapitolu 6.1. názvu „Pojem nákladovej optimálnosti“ vo vzťahu k nájomnému z dôvodov sociálnej politiky, aktu EÚ názvu Usmernenia sprevádzajúce </w:t>
            </w:r>
            <w:r>
              <w:rPr>
                <w:rFonts w:ascii="Times" w:hAnsi="Times" w:cs="Times"/>
                <w:sz w:val="25"/>
                <w:szCs w:val="25"/>
              </w:rPr>
              <w:lastRenderedPageBreak/>
              <w:t xml:space="preserve">delegované nariadenie Komisie (EÚ) č. 244/2012 zo 16. januára 2012, ktorým sa dopĺňa smernica Európskeho parlamentu a Rady 2010/31/EÚ o energetickej hospodárnosti budov zavedením rámca porovnávacej metodiky výpočtu nákladovo optimálnych úrovní minimálnych požiadaviek na energetickú hospodárnosť budov a prvkov budov ( Ú. v. EÚ C 115, 19. 4. 2012, s. 1) aj s prihliadnutím na delegované nariadenie Komisie (EÚ) č. 244/2012 ktorým sa dopĺňa smernica Európskeho parlamentu a Rady 2010/31/EÚ o energetickej hospodárnosti budov vytvorením rámca porovnávacej metodiky na výpočet nákladovo optimálnych úrovní minimálnych požiadaviek na energetickú hospodárnosť budov a prvkov budov (Ú. v. EÚ L 81, 21.3.2012) problematiku sociálneho aspektu a rozumnej úrovne udržania nájomného, a súčasne pre budovy určené pre jednu rodinu a pre viacbytové obytné domy a budovy pre viac rodín žiadame zhodnotiť možnosť zapracovania podkategórií budov obývaných príslušníkmi marginalizovaných rómskych komunít (s prihliadnutím na periodicky zisťovanú skutočnosť neplnenia si povinnosti vlastníkov stavieb udržiavať stavby v riadnom technickom stave v segmente domov vo vlastníctve obcí a miest), aj s prihliadnutím na problematiku nielen regenerácie uvedených segmentov budov/bytov v komparácii na energetickú hospodárnosť budov, ale aj na príslušné procesy regulované zákonom č. 50/1976 Zb. vrátane procesov dodatočného povoľovania stavieb v prepojení na limity Prílohy 1 Nariadenia Európskeho parlamentu a Rady č. 305/2011, ktorým sa ustanovujú harmonizované podmienky uvádzania stavebných výrobkov na trh a ktorým sa zrušuje smernica Rady 89/106/EHS </w:t>
            </w:r>
            <w:r>
              <w:rPr>
                <w:rFonts w:ascii="Times" w:hAnsi="Times" w:cs="Times"/>
                <w:sz w:val="25"/>
                <w:szCs w:val="25"/>
              </w:rPr>
              <w:lastRenderedPageBreak/>
              <w:t xml:space="preserve">(Ú. v. EÚ L 88, 4.4.2011). c) problematiku nástrojov Európskej solidárnej pomoci EŚIF, s ohľadom na rámec nariadení Európskeho parlamentu a Rady 1301/2013 a 1303/2013 až 1305/2013 v previazaní na tematické ciele operačných programov, osobitne OP ĽZ, prioritnej osy 6 Technická vybavenosť v obciach s prítomnosťou marginalizovaných rómskych komunít, najmä investičnej priority 6.1. Poskytovanie podpory fyzickej, ekonomickej a sociálnej regenerácie zanedbaných komunít v mestských a vidieckych oblastiach, špecifického cieľa 6.1.1 Rast počtu rómskych domácností s prístupom k zlepšeným podmienkam bývania – osobitne v rámci investícii do rekonštrukcie budov v komparácií na cieľ sledovaný predkladaným materiálom. Súčasne zohľadniť aj problematiku obsiahnutú v regulačnej oblasti zákona č. 336/2015 Z. z. o podpore najmenej rozvinutých okresov a o zmene a doplnení niektorých zákonov v znení neskorších predpisov, vrátane aj takých nástrojov, ako je sociálny, alebo regionálny aspekt vo verejnom obstarávaní (upriamujeme pozornosť aj na tabuľky 3F a 4F OP ĽZ, obsahujúce aj budovy verejnej infraštruktúry – t.z. obdobne túto problematiku je potrené zapracovať aj do kapitoly 3.2.2). Je potrebné zohľadniť vzájomné doplnenie sledovaných cieľov predkladaného materiálu v rámci uvedenej problematiky nástrojov EŠIF, aj na základe synergie napríklad medzi OP ĽZ a OP ŽP. OP ĽZ tieto skutočnosti zohľadnil v čase svojho vzniku aj v previazaní na odporúčania Rady k národnému programu reforiem pre rok 2013. V rámci tejto skutočnosti aj vo vzťahu k segmentu nebytových bytov kladieme do pozornosti podkapitolu OP ĽZ - 2.6.3.1 Opis typu a príklady aktivít. Odôvodenie: Podľa </w:t>
            </w:r>
            <w:r>
              <w:rPr>
                <w:rFonts w:ascii="Times" w:hAnsi="Times" w:cs="Times"/>
                <w:sz w:val="25"/>
                <w:szCs w:val="25"/>
              </w:rPr>
              <w:lastRenderedPageBreak/>
              <w:t xml:space="preserve">čl. 4 smernice Európskeho parlamentu a Rady 2012/27/EÚ o energetickej efektívnosti, ktorou sa menia a dopĺňajú smernice 2009/125/ES a 2010/30/EÚ a ktorou sa zrušujú smernice 2004/8/ES a 2006/32/ES (Ú. v. EÚ L 315, 14.11.2012) členské štáty stanovia dlhodobú stratégiu na mobilizáciu investícií do obnovy vnútroštátneho fondu obytných aj komerčných budov, a to verejných aj súkromných, pričom stratégia v systémoch periodickej trojročnej aktualizácie má obsahovať aj identifikáciu nákladovo efektívnych prístupov k obnovám týkajúcich sa typu budovy a politiky a opatrenia na podporu nákladovo efektívnych hĺbkových obnov budov vrátane postupných hĺbkových obnov. Uvedená skutočnosť bola implementovaná aj do zákona č. 321/2014 Z. z. o energetickej efektívnosti a o zmene a doplnení niektorých zákonov, preto považujeme za dôležité s cieľom efektívnej integrácie Rómov zosieťovanie všetkých nástrojov a politík v predkladanom materiály, vrátane nástrojov uvedených v sekundárnom práve EÚ.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rsidP="004F289B">
            <w:pPr>
              <w:rPr>
                <w:rFonts w:ascii="Times" w:hAnsi="Times" w:cs="Times"/>
                <w:sz w:val="25"/>
                <w:szCs w:val="25"/>
              </w:rPr>
            </w:pPr>
            <w:r>
              <w:rPr>
                <w:rFonts w:ascii="Times" w:hAnsi="Times" w:cs="Times"/>
                <w:sz w:val="25"/>
                <w:szCs w:val="25"/>
              </w:rPr>
              <w:t>Ministerstvo pri výpočte nákladovo optimálnej úrovne minimálnych požiadaviek na energetickú hospodárnosť zohľadnilo uvedené dokumenty Európske</w:t>
            </w:r>
            <w:r w:rsidR="004F289B">
              <w:rPr>
                <w:rFonts w:ascii="Times" w:hAnsi="Times" w:cs="Times"/>
                <w:sz w:val="25"/>
                <w:szCs w:val="25"/>
              </w:rPr>
              <w:t>h</w:t>
            </w:r>
            <w:r>
              <w:rPr>
                <w:rFonts w:ascii="Times" w:hAnsi="Times" w:cs="Times"/>
                <w:sz w:val="25"/>
                <w:szCs w:val="25"/>
              </w:rPr>
              <w:t>o parlamentu a Rady. Tiež pri ich výpočte zohľadnilo fakt, že nie je žiadúce mať rôzne požiadavky na budovy v závislosti od toho či sú prenajaté alebo nie, lebo postavenie užívateľa je nezávislé od budovy.</w:t>
            </w:r>
          </w:p>
        </w:tc>
      </w:tr>
      <w:tr w:rsidR="00E84E53">
        <w:trPr>
          <w:divId w:val="1641229559"/>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lastRenderedPageBreak/>
              <w:t>ŠÚSR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b/>
                <w:bCs/>
                <w:sz w:val="25"/>
                <w:szCs w:val="25"/>
              </w:rPr>
              <w:t>Vlastnému materiálu</w:t>
            </w:r>
            <w:r>
              <w:rPr>
                <w:rFonts w:ascii="Times" w:hAnsi="Times" w:cs="Times"/>
                <w:sz w:val="25"/>
                <w:szCs w:val="25"/>
              </w:rPr>
              <w:br/>
              <w:t xml:space="preserve">Na str. 11: za rodinné domy sú k dispozícii okrem dát z cenzu 2001 aj dáta z cenzu 2011. Odôvodnenie: Dáta z cenzu 2011 za rodinné domy je možné rozčleniť na rodinný dom – samostatný, rodinný dom – dvojdom a rodinný dom – radový. Okrem tohto je možné o rodinných domoch z tohto cenzu poskytnúť aj dáta ako obdobie výstavby, obdobie rekonštrukcie, materiál nosnej konštrukcie domu, tepelná izolácia domu, celková podlahová plochy bytu, ktorý sa nachádza v rodinnom dome, podlahová plocha obytných miestností bytu, ktorý sa nachádza v rodinnom </w:t>
            </w:r>
            <w:r>
              <w:rPr>
                <w:rFonts w:ascii="Times" w:hAnsi="Times" w:cs="Times"/>
                <w:sz w:val="25"/>
                <w:szCs w:val="25"/>
              </w:rPr>
              <w:lastRenderedPageBreak/>
              <w:t>dome, počet obytných miestností v byte, ktorý sa nachádza v rodinnom dome a pod.</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rsidP="004F289B">
            <w:pPr>
              <w:rPr>
                <w:rFonts w:ascii="Times" w:hAnsi="Times" w:cs="Times"/>
                <w:sz w:val="25"/>
                <w:szCs w:val="25"/>
              </w:rPr>
            </w:pPr>
            <w:r>
              <w:rPr>
                <w:rFonts w:ascii="Times" w:hAnsi="Times" w:cs="Times"/>
                <w:sz w:val="25"/>
                <w:szCs w:val="25"/>
              </w:rPr>
              <w:t>text upravený v súlade s pripomienkou</w:t>
            </w:r>
          </w:p>
        </w:tc>
      </w:tr>
      <w:tr w:rsidR="00E84E53">
        <w:trPr>
          <w:divId w:val="1641229559"/>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ŠÚSR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b/>
                <w:bCs/>
                <w:sz w:val="25"/>
                <w:szCs w:val="25"/>
              </w:rPr>
              <w:t>Vlastnému materiálu</w:t>
            </w:r>
            <w:r>
              <w:rPr>
                <w:rFonts w:ascii="Times" w:hAnsi="Times" w:cs="Times"/>
                <w:sz w:val="25"/>
                <w:szCs w:val="25"/>
              </w:rPr>
              <w:br/>
              <w:t>na str.15: pod grafom nie je uvedený zdroj informácií.</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rsidP="004F289B">
            <w:pPr>
              <w:rPr>
                <w:rFonts w:ascii="Times" w:hAnsi="Times" w:cs="Times"/>
                <w:sz w:val="25"/>
                <w:szCs w:val="25"/>
              </w:rPr>
            </w:pPr>
            <w:r>
              <w:rPr>
                <w:rFonts w:ascii="Times" w:hAnsi="Times" w:cs="Times"/>
                <w:sz w:val="25"/>
                <w:szCs w:val="25"/>
              </w:rPr>
              <w:t>text doplnený v súlade s pripomienkou</w:t>
            </w:r>
          </w:p>
        </w:tc>
      </w:tr>
      <w:tr w:rsidR="00E84E53">
        <w:trPr>
          <w:divId w:val="1641229559"/>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ŠÚSR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b/>
                <w:bCs/>
                <w:sz w:val="25"/>
                <w:szCs w:val="25"/>
              </w:rPr>
              <w:t>Vlastnému materiálu</w:t>
            </w:r>
            <w:r>
              <w:rPr>
                <w:rFonts w:ascii="Times" w:hAnsi="Times" w:cs="Times"/>
                <w:sz w:val="25"/>
                <w:szCs w:val="25"/>
              </w:rPr>
              <w:br/>
              <w:t>Na str.9: za bytové domy sú k dispozícii okrem dát z cenzu 2001 aj dáta z cenzu 2011. Odôvodnenie: Z cenzu 2011 za bytové domy je možné poskytnúť aj dáta ako obdobie výstavby, obdobie rekonštrukcie, materiál nosnej konštrukcie domu, tepelná izolácia domu, celková podlahová plochy bytu, ktorý sa nachádza v bytovom dome, podlahová plocha obytných miestností bytu, ktorý sa nachádza v bytovom dome, počet obytných miestností v byte, ktorý sa nachádza v bytovom dome a pod.</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rsidP="004F289B">
            <w:pPr>
              <w:rPr>
                <w:rFonts w:ascii="Times" w:hAnsi="Times" w:cs="Times"/>
                <w:sz w:val="25"/>
                <w:szCs w:val="25"/>
              </w:rPr>
            </w:pPr>
            <w:r>
              <w:rPr>
                <w:rFonts w:ascii="Times" w:hAnsi="Times" w:cs="Times"/>
                <w:sz w:val="25"/>
                <w:szCs w:val="25"/>
              </w:rPr>
              <w:t>text upravený v súlade s pripomienkou</w:t>
            </w:r>
          </w:p>
        </w:tc>
      </w:tr>
      <w:tr w:rsidR="00E84E53">
        <w:trPr>
          <w:divId w:val="1641229559"/>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ŠÚSR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b/>
                <w:bCs/>
                <w:sz w:val="25"/>
                <w:szCs w:val="25"/>
              </w:rPr>
              <w:t>VLastnému materiálu</w:t>
            </w:r>
            <w:r>
              <w:rPr>
                <w:rFonts w:ascii="Times" w:hAnsi="Times" w:cs="Times"/>
                <w:sz w:val="25"/>
                <w:szCs w:val="25"/>
              </w:rPr>
              <w:br/>
              <w:t>Odporúčame v celom texte používať zaužívanú skratku SODB (sčítanie obyvateľov, domov a bytov) namiesto SOBD (na piatich miestach sme ju našli).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rsidP="004F289B">
            <w:pPr>
              <w:rPr>
                <w:rFonts w:ascii="Times" w:hAnsi="Times" w:cs="Times"/>
                <w:sz w:val="25"/>
                <w:szCs w:val="25"/>
              </w:rPr>
            </w:pPr>
            <w:r>
              <w:rPr>
                <w:rFonts w:ascii="Times" w:hAnsi="Times" w:cs="Times"/>
                <w:sz w:val="25"/>
                <w:szCs w:val="25"/>
              </w:rPr>
              <w:t>text upravený v súlade s pripomienkou</w:t>
            </w:r>
          </w:p>
        </w:tc>
      </w:tr>
      <w:tr w:rsidR="00E84E53">
        <w:trPr>
          <w:divId w:val="1641229559"/>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ÚGKKSR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rsidP="004F289B">
            <w:pPr>
              <w:rPr>
                <w:rFonts w:ascii="Times" w:hAnsi="Times" w:cs="Times"/>
                <w:sz w:val="25"/>
                <w:szCs w:val="25"/>
              </w:rPr>
            </w:pPr>
            <w:r>
              <w:rPr>
                <w:rFonts w:ascii="Times" w:hAnsi="Times" w:cs="Times"/>
                <w:sz w:val="25"/>
                <w:szCs w:val="25"/>
              </w:rPr>
              <w:t>vzaté na vedomie</w:t>
            </w:r>
          </w:p>
        </w:tc>
      </w:tr>
      <w:tr w:rsidR="00E84E53">
        <w:trPr>
          <w:divId w:val="1641229559"/>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ÚJDSR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sz w:val="25"/>
                <w:szCs w:val="25"/>
              </w:rPr>
              <w:t>vzaté na vedomie</w:t>
            </w:r>
          </w:p>
        </w:tc>
      </w:tr>
      <w:tr w:rsidR="00E84E53">
        <w:trPr>
          <w:divId w:val="1641229559"/>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ÚNMSSR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 xml:space="preserve">Dávame do pozornosti, že podľa zákona č. 264/1999 Z. z. technických požiadavkách na výrobky a o posudzovaní zhody a o </w:t>
            </w:r>
            <w:r>
              <w:rPr>
                <w:rFonts w:ascii="Times" w:hAnsi="Times" w:cs="Times"/>
                <w:sz w:val="25"/>
                <w:szCs w:val="25"/>
              </w:rPr>
              <w:lastRenderedPageBreak/>
              <w:t>zmene a doplnení niektorých zákonov v znení neskorších predpisov je dodržiavanie slovenskej technickej normy dobrovoľné.</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sz w:val="25"/>
                <w:szCs w:val="25"/>
              </w:rPr>
              <w:t xml:space="preserve">Sme si vedomí tejto zásady a preto používame v texte materiálu slovné spojenie „že by mali spĺňať </w:t>
            </w:r>
            <w:r>
              <w:rPr>
                <w:rFonts w:ascii="Times" w:hAnsi="Times" w:cs="Times"/>
                <w:sz w:val="25"/>
                <w:szCs w:val="25"/>
              </w:rPr>
              <w:lastRenderedPageBreak/>
              <w:t>požiadavky“.</w:t>
            </w:r>
          </w:p>
        </w:tc>
      </w:tr>
      <w:tr w:rsidR="00E84E53">
        <w:trPr>
          <w:divId w:val="1641229559"/>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lastRenderedPageBreak/>
              <w:t>ÚNMSSR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b/>
                <w:bCs/>
                <w:sz w:val="25"/>
                <w:szCs w:val="25"/>
              </w:rPr>
              <w:t>časti 2</w:t>
            </w:r>
            <w:r>
              <w:rPr>
                <w:rFonts w:ascii="Times" w:hAnsi="Times" w:cs="Times"/>
                <w:sz w:val="25"/>
                <w:szCs w:val="25"/>
              </w:rPr>
              <w:br/>
              <w:t>V bode 2.1 v odseku tohto ustanovenia sa uvádza odkaz na revidovanú STN 73 0540: 2002. V roku 2002 bol vydaný súbor noriem pozostávajúci z STN 73 0540-1 Tepelnotechnické vlastnosti stavebných konštrukcií a budov. Tepelná ochrana budov. Časť 1: Terminológia, STN 73 0540-2 Tepelnotechnické vlastnosti stavebných konštrukcií a budov. Tepelná ochrana budov. Časť 2: Funkčné požiadavky a STN 73 0540-3 Tepelnotechnické vlastnosti stavebných konštrukcií a budov. Tepelná ochrana budov. Časť 3: Vlastnosti prostredia a stavebných výrobkov, ktoré nahradili o. i. aj STN 73 5040: 1977. V roku 2012 boli časti 2 a 3 nahradené týmito normami: STN 73 0540-2 Tepelná ochrana budov. Tepelnotechnické vlastnosti stavebných konštrukcií a budov. Časť 2: Funkčné požiadavky a STN 73 0540-3 Tepelná ochrana budov. Tepelnotechnické vlastnosti stavebných konštrukcií a budov. Časť 3: Vlastnosti prostredia a stavebných výrobkov. Odporúčame preto zvoliť príslušnú časť súboru noriem.</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rsidP="004F289B">
            <w:pPr>
              <w:rPr>
                <w:rFonts w:ascii="Times" w:hAnsi="Times" w:cs="Times"/>
                <w:sz w:val="25"/>
                <w:szCs w:val="25"/>
              </w:rPr>
            </w:pPr>
            <w:r>
              <w:rPr>
                <w:rFonts w:ascii="Times" w:hAnsi="Times" w:cs="Times"/>
                <w:sz w:val="25"/>
                <w:szCs w:val="25"/>
              </w:rPr>
              <w:t>text upravený v súlade s pripomienkou</w:t>
            </w:r>
          </w:p>
        </w:tc>
      </w:tr>
      <w:tr w:rsidR="00E84E53">
        <w:trPr>
          <w:divId w:val="1641229559"/>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ÚNMSSR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b/>
                <w:bCs/>
                <w:sz w:val="25"/>
                <w:szCs w:val="25"/>
              </w:rPr>
              <w:t>časť 2</w:t>
            </w:r>
            <w:r>
              <w:rPr>
                <w:rFonts w:ascii="Times" w:hAnsi="Times" w:cs="Times"/>
                <w:sz w:val="25"/>
                <w:szCs w:val="25"/>
              </w:rPr>
              <w:br/>
              <w:t>V bode 2.2 (str. 15) odporúčame uviesť odkaz na STN 15459 takto: "STN EN 15459 Energetická hospodárnosť budov. Postupy ekonomického hodnotenia energetických systémov v budovách (06 0004).".</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rsidP="004F289B">
            <w:pPr>
              <w:rPr>
                <w:rFonts w:ascii="Times" w:hAnsi="Times" w:cs="Times"/>
                <w:sz w:val="25"/>
                <w:szCs w:val="25"/>
              </w:rPr>
            </w:pPr>
            <w:r>
              <w:rPr>
                <w:rFonts w:ascii="Times" w:hAnsi="Times" w:cs="Times"/>
                <w:sz w:val="25"/>
                <w:szCs w:val="25"/>
              </w:rPr>
              <w:t>text upravený v súlade s pripomienkou</w:t>
            </w:r>
          </w:p>
        </w:tc>
      </w:tr>
      <w:tr w:rsidR="00E84E53">
        <w:trPr>
          <w:divId w:val="1641229559"/>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lastRenderedPageBreak/>
              <w:t>ÚNMSSR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b/>
                <w:bCs/>
                <w:sz w:val="25"/>
                <w:szCs w:val="25"/>
              </w:rPr>
              <w:t>časť 2, príloha č. 1 a 7</w:t>
            </w:r>
            <w:r>
              <w:rPr>
                <w:rFonts w:ascii="Times" w:hAnsi="Times" w:cs="Times"/>
                <w:sz w:val="25"/>
                <w:szCs w:val="25"/>
              </w:rPr>
              <w:br/>
              <w:t>V bode 2.3 (str. 16) a v prílohe č. 1 a 7 odporúčame uviesť odkaz na STN 73 0540-2: 2012 takto: "STN 73 0540-2 Tepelná ochrana budov. Tepelnotechnické vlastnosti stavebných konštrukcií a budov. Časť 2: Funkčné požiadavky (73 0540).".</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rsidP="004F289B">
            <w:pPr>
              <w:rPr>
                <w:rFonts w:ascii="Times" w:hAnsi="Times" w:cs="Times"/>
                <w:sz w:val="25"/>
                <w:szCs w:val="25"/>
              </w:rPr>
            </w:pPr>
            <w:r>
              <w:rPr>
                <w:rFonts w:ascii="Times" w:hAnsi="Times" w:cs="Times"/>
                <w:sz w:val="25"/>
                <w:szCs w:val="25"/>
              </w:rPr>
              <w:t>text upravený v súlade s pripomienkou</w:t>
            </w:r>
          </w:p>
        </w:tc>
      </w:tr>
      <w:tr w:rsidR="00E84E53">
        <w:trPr>
          <w:divId w:val="1641229559"/>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ÚNMSSR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b/>
                <w:bCs/>
                <w:sz w:val="25"/>
                <w:szCs w:val="25"/>
              </w:rPr>
              <w:t>časť 2</w:t>
            </w:r>
            <w:r>
              <w:rPr>
                <w:rFonts w:ascii="Times" w:hAnsi="Times" w:cs="Times"/>
                <w:sz w:val="25"/>
                <w:szCs w:val="25"/>
              </w:rPr>
              <w:br/>
              <w:t>V bode 2.4.1 (str. 18) v poslednom odseku je uvedený nesprávne odkaz na STN 73 2901 v tvare opravy ako STN 73 2901/O1: 2015. Odporúčame uviesť odkaz na STN takto: "STN 73 2901 Zhotovovanie vonkajších tepelnoizolačných kontaktných systémov (ETICS) (73 2901).".</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rsidP="004F289B">
            <w:pPr>
              <w:rPr>
                <w:rFonts w:ascii="Times" w:hAnsi="Times" w:cs="Times"/>
                <w:sz w:val="25"/>
                <w:szCs w:val="25"/>
              </w:rPr>
            </w:pPr>
            <w:r>
              <w:rPr>
                <w:rFonts w:ascii="Times" w:hAnsi="Times" w:cs="Times"/>
                <w:sz w:val="25"/>
                <w:szCs w:val="25"/>
              </w:rPr>
              <w:t>text upravený v súlade s pripomienkou</w:t>
            </w:r>
          </w:p>
        </w:tc>
      </w:tr>
      <w:tr w:rsidR="00E84E53">
        <w:trPr>
          <w:divId w:val="1641229559"/>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ÚPVSR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E84E53" w:rsidRDefault="004F289B">
            <w:pPr>
              <w:rPr>
                <w:rFonts w:ascii="Times" w:hAnsi="Times" w:cs="Times"/>
                <w:sz w:val="25"/>
                <w:szCs w:val="25"/>
              </w:rPr>
            </w:pPr>
            <w:r>
              <w:rPr>
                <w:rFonts w:ascii="Times" w:hAnsi="Times" w:cs="Times"/>
                <w:sz w:val="25"/>
                <w:szCs w:val="25"/>
              </w:rPr>
              <w:t>v</w:t>
            </w:r>
            <w:r w:rsidR="00E84E53">
              <w:rPr>
                <w:rFonts w:ascii="Times" w:hAnsi="Times" w:cs="Times"/>
                <w:sz w:val="25"/>
                <w:szCs w:val="25"/>
              </w:rPr>
              <w:t>zaté na vedomie</w:t>
            </w:r>
          </w:p>
        </w:tc>
      </w:tr>
      <w:tr w:rsidR="00E84E53">
        <w:trPr>
          <w:divId w:val="1641229559"/>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b/>
                <w:bCs/>
                <w:sz w:val="25"/>
                <w:szCs w:val="25"/>
              </w:rPr>
            </w:pPr>
            <w:r>
              <w:rPr>
                <w:rFonts w:ascii="Times" w:hAnsi="Times" w:cs="Times"/>
                <w:b/>
                <w:bCs/>
                <w:sz w:val="25"/>
                <w:szCs w:val="25"/>
              </w:rPr>
              <w:t>Verejnosť</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rPr>
                <w:rFonts w:ascii="Times" w:hAnsi="Times" w:cs="Times"/>
                <w:sz w:val="25"/>
                <w:szCs w:val="25"/>
              </w:rPr>
            </w:pPr>
            <w:r>
              <w:rPr>
                <w:rFonts w:ascii="Times" w:hAnsi="Times" w:cs="Times"/>
                <w:b/>
                <w:bCs/>
                <w:sz w:val="25"/>
                <w:szCs w:val="25"/>
              </w:rPr>
              <w:t>k celému materiálu</w:t>
            </w: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E84E53" w:rsidRDefault="00E84E53" w:rsidP="004F289B">
            <w:pPr>
              <w:rPr>
                <w:rFonts w:ascii="Times" w:hAnsi="Times" w:cs="Times"/>
                <w:sz w:val="25"/>
                <w:szCs w:val="25"/>
              </w:rPr>
            </w:pPr>
            <w:r>
              <w:rPr>
                <w:rFonts w:ascii="Times" w:hAnsi="Times" w:cs="Times"/>
                <w:sz w:val="25"/>
                <w:szCs w:val="25"/>
              </w:rPr>
              <w:t>vzaté na vedomie</w:t>
            </w:r>
          </w:p>
        </w:tc>
      </w:tr>
    </w:tbl>
    <w:p w:rsidR="00154A91" w:rsidRPr="00154A91" w:rsidRDefault="00154A91" w:rsidP="00CE47A6"/>
    <w:p w:rsidR="00154A91" w:rsidRPr="00024402" w:rsidRDefault="00154A91" w:rsidP="00CE47A6"/>
    <w:sectPr w:rsidR="00154A91" w:rsidRPr="00024402" w:rsidSect="004075B2">
      <w:pgSz w:w="15840" w:h="12240"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1762" w:rsidRDefault="00721762" w:rsidP="000A67D5">
      <w:pPr>
        <w:spacing w:after="0" w:line="240" w:lineRule="auto"/>
      </w:pPr>
      <w:r>
        <w:separator/>
      </w:r>
    </w:p>
  </w:endnote>
  <w:endnote w:type="continuationSeparator" w:id="0">
    <w:p w:rsidR="00721762" w:rsidRDefault="00721762" w:rsidP="000A6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43" w:usb2="00000009" w:usb3="00000000" w:csb0="000001FF" w:csb1="00000000"/>
  </w:font>
  <w:font w:name="Consolas">
    <w:panose1 w:val="020B0609020204030204"/>
    <w:charset w:val="EE"/>
    <w:family w:val="modern"/>
    <w:pitch w:val="fixed"/>
    <w:sig w:usb0="E10002FF" w:usb1="4000F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1762" w:rsidRDefault="00721762" w:rsidP="000A67D5">
      <w:pPr>
        <w:spacing w:after="0" w:line="240" w:lineRule="auto"/>
      </w:pPr>
      <w:r>
        <w:separator/>
      </w:r>
    </w:p>
  </w:footnote>
  <w:footnote w:type="continuationSeparator" w:id="0">
    <w:p w:rsidR="00721762" w:rsidRDefault="00721762" w:rsidP="000A67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E2844"/>
    <w:rsid w:val="000032C8"/>
    <w:rsid w:val="00024402"/>
    <w:rsid w:val="000324A3"/>
    <w:rsid w:val="0006543E"/>
    <w:rsid w:val="000A67D5"/>
    <w:rsid w:val="000E25CA"/>
    <w:rsid w:val="000F7A42"/>
    <w:rsid w:val="00146547"/>
    <w:rsid w:val="00146B48"/>
    <w:rsid w:val="00150388"/>
    <w:rsid w:val="00154A91"/>
    <w:rsid w:val="002109B0"/>
    <w:rsid w:val="0021228E"/>
    <w:rsid w:val="00230F3C"/>
    <w:rsid w:val="002654AA"/>
    <w:rsid w:val="00271AAB"/>
    <w:rsid w:val="002827B4"/>
    <w:rsid w:val="002A5577"/>
    <w:rsid w:val="002D7471"/>
    <w:rsid w:val="00310A55"/>
    <w:rsid w:val="00322014"/>
    <w:rsid w:val="0039526D"/>
    <w:rsid w:val="003B435B"/>
    <w:rsid w:val="003D101C"/>
    <w:rsid w:val="003D5E45"/>
    <w:rsid w:val="003E4226"/>
    <w:rsid w:val="004075B2"/>
    <w:rsid w:val="00436C44"/>
    <w:rsid w:val="00474A9D"/>
    <w:rsid w:val="004F289B"/>
    <w:rsid w:val="00532574"/>
    <w:rsid w:val="0059081C"/>
    <w:rsid w:val="005E7C53"/>
    <w:rsid w:val="00642FB8"/>
    <w:rsid w:val="006A3681"/>
    <w:rsid w:val="007156F5"/>
    <w:rsid w:val="00721762"/>
    <w:rsid w:val="007A1010"/>
    <w:rsid w:val="007B7F1A"/>
    <w:rsid w:val="007D7AE6"/>
    <w:rsid w:val="007E4294"/>
    <w:rsid w:val="00841FA6"/>
    <w:rsid w:val="008A1964"/>
    <w:rsid w:val="008E2844"/>
    <w:rsid w:val="0090100E"/>
    <w:rsid w:val="009239D9"/>
    <w:rsid w:val="00927118"/>
    <w:rsid w:val="00943EB2"/>
    <w:rsid w:val="0099665B"/>
    <w:rsid w:val="009C6C5C"/>
    <w:rsid w:val="009F7218"/>
    <w:rsid w:val="00A251BF"/>
    <w:rsid w:val="00A54A16"/>
    <w:rsid w:val="00B721A5"/>
    <w:rsid w:val="00B76589"/>
    <w:rsid w:val="00B8767E"/>
    <w:rsid w:val="00BD1FAB"/>
    <w:rsid w:val="00BE7302"/>
    <w:rsid w:val="00BF6002"/>
    <w:rsid w:val="00BF7CE0"/>
    <w:rsid w:val="00CA44D2"/>
    <w:rsid w:val="00CE47A6"/>
    <w:rsid w:val="00CF3D59"/>
    <w:rsid w:val="00D261C9"/>
    <w:rsid w:val="00D85172"/>
    <w:rsid w:val="00D969AC"/>
    <w:rsid w:val="00DF7085"/>
    <w:rsid w:val="00E84E53"/>
    <w:rsid w:val="00E85710"/>
    <w:rsid w:val="00EB772A"/>
    <w:rsid w:val="00EF1425"/>
    <w:rsid w:val="00F26A4A"/>
    <w:rsid w:val="00F727F0"/>
    <w:rsid w:val="00F856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532574"/>
    <w:rPr>
      <w:lang w:val="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3D5E45"/>
    <w:rPr>
      <w:color w:val="808080"/>
    </w:rPr>
  </w:style>
  <w:style w:type="paragraph" w:styleId="Textbubliny">
    <w:name w:val="Balloon Text"/>
    <w:basedOn w:val="Normlny"/>
    <w:link w:val="TextbublinyChar"/>
    <w:uiPriority w:val="99"/>
    <w:semiHidden/>
    <w:unhideWhenUsed/>
    <w:rsid w:val="003D5E4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D5E45"/>
    <w:rPr>
      <w:rFonts w:ascii="Tahoma" w:hAnsi="Tahoma" w:cs="Tahoma"/>
      <w:sz w:val="16"/>
      <w:szCs w:val="16"/>
    </w:rPr>
  </w:style>
  <w:style w:type="paragraph" w:styleId="Hlavika">
    <w:name w:val="header"/>
    <w:basedOn w:val="Normlny"/>
    <w:link w:val="HlavikaChar"/>
    <w:uiPriority w:val="99"/>
    <w:unhideWhenUsed/>
    <w:rsid w:val="000A67D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A67D5"/>
  </w:style>
  <w:style w:type="paragraph" w:styleId="Pta">
    <w:name w:val="footer"/>
    <w:basedOn w:val="Normlny"/>
    <w:link w:val="PtaChar"/>
    <w:uiPriority w:val="99"/>
    <w:unhideWhenUsed/>
    <w:rsid w:val="000A67D5"/>
    <w:pPr>
      <w:tabs>
        <w:tab w:val="center" w:pos="4536"/>
        <w:tab w:val="right" w:pos="9072"/>
      </w:tabs>
      <w:spacing w:after="0" w:line="240" w:lineRule="auto"/>
    </w:pPr>
  </w:style>
  <w:style w:type="character" w:customStyle="1" w:styleId="PtaChar">
    <w:name w:val="Päta Char"/>
    <w:basedOn w:val="Predvolenpsmoodseku"/>
    <w:link w:val="Pta"/>
    <w:uiPriority w:val="99"/>
    <w:rsid w:val="000A67D5"/>
  </w:style>
  <w:style w:type="character" w:styleId="Odkaznakomentr">
    <w:name w:val="annotation reference"/>
    <w:basedOn w:val="Predvolenpsmoodseku"/>
    <w:uiPriority w:val="99"/>
    <w:semiHidden/>
    <w:unhideWhenUsed/>
    <w:rsid w:val="00927118"/>
    <w:rPr>
      <w:sz w:val="16"/>
      <w:szCs w:val="16"/>
    </w:rPr>
  </w:style>
  <w:style w:type="paragraph" w:styleId="Textkomentra">
    <w:name w:val="annotation text"/>
    <w:basedOn w:val="Normlny"/>
    <w:link w:val="TextkomentraChar"/>
    <w:uiPriority w:val="99"/>
    <w:semiHidden/>
    <w:unhideWhenUsed/>
    <w:rsid w:val="00927118"/>
    <w:pPr>
      <w:widowControl w:val="0"/>
      <w:adjustRightInd w:val="0"/>
      <w:spacing w:line="240" w:lineRule="auto"/>
    </w:pPr>
    <w:rPr>
      <w:rFonts w:ascii="Calibri" w:eastAsia="Times New Roman" w:hAnsi="Calibri" w:cs="Times New Roman"/>
      <w:sz w:val="20"/>
      <w:szCs w:val="20"/>
    </w:rPr>
  </w:style>
  <w:style w:type="character" w:customStyle="1" w:styleId="TextkomentraChar">
    <w:name w:val="Text komentára Char"/>
    <w:basedOn w:val="Predvolenpsmoodseku"/>
    <w:link w:val="Textkomentra"/>
    <w:uiPriority w:val="99"/>
    <w:semiHidden/>
    <w:rsid w:val="00927118"/>
    <w:rPr>
      <w:rFonts w:ascii="Calibri" w:eastAsia="Times New Roman" w:hAnsi="Calibri" w:cs="Times New Roman"/>
      <w:sz w:val="20"/>
      <w:szCs w:val="20"/>
    </w:rPr>
  </w:style>
  <w:style w:type="paragraph" w:styleId="Zkladntext">
    <w:name w:val="Body Text"/>
    <w:basedOn w:val="Normlny"/>
    <w:link w:val="ZkladntextChar"/>
    <w:uiPriority w:val="99"/>
    <w:semiHidden/>
    <w:rsid w:val="00BF7CE0"/>
    <w:pPr>
      <w:widowControl w:val="0"/>
      <w:adjustRightInd w:val="0"/>
      <w:spacing w:after="0" w:line="240" w:lineRule="auto"/>
      <w:jc w:val="center"/>
    </w:pPr>
    <w:rPr>
      <w:rFonts w:ascii="Times New Roman" w:eastAsia="Times New Roman" w:hAnsi="Times New Roman" w:cs="Times New Roman"/>
      <w:b/>
      <w:bCs/>
      <w:sz w:val="28"/>
      <w:szCs w:val="28"/>
      <w:lang w:eastAsia="sk-SK"/>
    </w:rPr>
  </w:style>
  <w:style w:type="character" w:customStyle="1" w:styleId="ZkladntextChar">
    <w:name w:val="Základný text Char"/>
    <w:basedOn w:val="Predvolenpsmoodseku"/>
    <w:link w:val="Zkladntext"/>
    <w:uiPriority w:val="99"/>
    <w:semiHidden/>
    <w:rsid w:val="00BF7CE0"/>
    <w:rPr>
      <w:rFonts w:ascii="Times New Roman" w:eastAsia="Times New Roman" w:hAnsi="Times New Roman" w:cs="Times New Roman"/>
      <w:b/>
      <w:bCs/>
      <w:sz w:val="28"/>
      <w:szCs w:val="28"/>
      <w:lang w:val="sk-SK"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19688">
      <w:bodyDiv w:val="1"/>
      <w:marLeft w:val="0"/>
      <w:marRight w:val="0"/>
      <w:marTop w:val="0"/>
      <w:marBottom w:val="0"/>
      <w:divBdr>
        <w:top w:val="none" w:sz="0" w:space="0" w:color="auto"/>
        <w:left w:val="none" w:sz="0" w:space="0" w:color="auto"/>
        <w:bottom w:val="none" w:sz="0" w:space="0" w:color="auto"/>
        <w:right w:val="none" w:sz="0" w:space="0" w:color="auto"/>
      </w:divBdr>
    </w:div>
    <w:div w:id="96994990">
      <w:bodyDiv w:val="1"/>
      <w:marLeft w:val="0"/>
      <w:marRight w:val="0"/>
      <w:marTop w:val="0"/>
      <w:marBottom w:val="0"/>
      <w:divBdr>
        <w:top w:val="none" w:sz="0" w:space="0" w:color="auto"/>
        <w:left w:val="none" w:sz="0" w:space="0" w:color="auto"/>
        <w:bottom w:val="none" w:sz="0" w:space="0" w:color="auto"/>
        <w:right w:val="none" w:sz="0" w:space="0" w:color="auto"/>
      </w:divBdr>
    </w:div>
    <w:div w:id="119492160">
      <w:bodyDiv w:val="1"/>
      <w:marLeft w:val="0"/>
      <w:marRight w:val="0"/>
      <w:marTop w:val="0"/>
      <w:marBottom w:val="0"/>
      <w:divBdr>
        <w:top w:val="none" w:sz="0" w:space="0" w:color="auto"/>
        <w:left w:val="none" w:sz="0" w:space="0" w:color="auto"/>
        <w:bottom w:val="none" w:sz="0" w:space="0" w:color="auto"/>
        <w:right w:val="none" w:sz="0" w:space="0" w:color="auto"/>
      </w:divBdr>
    </w:div>
    <w:div w:id="855004458">
      <w:bodyDiv w:val="1"/>
      <w:marLeft w:val="0"/>
      <w:marRight w:val="0"/>
      <w:marTop w:val="0"/>
      <w:marBottom w:val="0"/>
      <w:divBdr>
        <w:top w:val="none" w:sz="0" w:space="0" w:color="auto"/>
        <w:left w:val="none" w:sz="0" w:space="0" w:color="auto"/>
        <w:bottom w:val="none" w:sz="0" w:space="0" w:color="auto"/>
        <w:right w:val="none" w:sz="0" w:space="0" w:color="auto"/>
      </w:divBdr>
    </w:div>
    <w:div w:id="1641229559">
      <w:bodyDiv w:val="1"/>
      <w:marLeft w:val="0"/>
      <w:marRight w:val="0"/>
      <w:marTop w:val="0"/>
      <w:marBottom w:val="0"/>
      <w:divBdr>
        <w:top w:val="none" w:sz="0" w:space="0" w:color="auto"/>
        <w:left w:val="none" w:sz="0" w:space="0" w:color="auto"/>
        <w:bottom w:val="none" w:sz="0" w:space="0" w:color="auto"/>
        <w:right w:val="none" w:sz="0" w:space="0" w:color="auto"/>
      </w:divBdr>
    </w:div>
    <w:div w:id="1844781366">
      <w:bodyDiv w:val="1"/>
      <w:marLeft w:val="0"/>
      <w:marRight w:val="0"/>
      <w:marTop w:val="0"/>
      <w:marBottom w:val="0"/>
      <w:divBdr>
        <w:top w:val="none" w:sz="0" w:space="0" w:color="auto"/>
        <w:left w:val="none" w:sz="0" w:space="0" w:color="auto"/>
        <w:bottom w:val="none" w:sz="0" w:space="0" w:color="auto"/>
        <w:right w:val="none" w:sz="0" w:space="0" w:color="auto"/>
      </w:divBdr>
    </w:div>
    <w:div w:id="1901164594">
      <w:bodyDiv w:val="1"/>
      <w:marLeft w:val="0"/>
      <w:marRight w:val="0"/>
      <w:marTop w:val="0"/>
      <w:marBottom w:val="0"/>
      <w:divBdr>
        <w:top w:val="none" w:sz="0" w:space="0" w:color="auto"/>
        <w:left w:val="none" w:sz="0" w:space="0" w:color="auto"/>
        <w:bottom w:val="none" w:sz="0" w:space="0" w:color="auto"/>
        <w:right w:val="none" w:sz="0" w:space="0" w:color="auto"/>
      </w:divBdr>
    </w:div>
    <w:div w:id="208452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openxmlformats.org/officeDocument/2006/relationships/customXml" Target="../customXml/item5.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4.xml"/><Relationship Id="rId5" Type="http://schemas.openxmlformats.org/officeDocument/2006/relationships/footnotes" Target="footnotes.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fields xmlns:f="http://schemas.fabasoft.com/folio/2007/fields">
  <f:record ref="">
    <f:field ref="objname" par="" edit="true" text="Vyhodnotenie medzirezortného pripomienkového konania"/>
    <f:field ref="objsubject" par="" edit="true" text="Vyhodnotenie medzirezortného pripomienkového konania"/>
    <f:field ref="objcreatedby" par="" text="Administrator, System"/>
    <f:field ref="objcreatedat" par="" text="27.4.2017 9:04:28"/>
    <f:field ref="objchangedby" par="" text="Administrator, System"/>
    <f:field ref="objmodifiedat" par="" text="27.4.2017 9:04:32"/>
    <f:field ref="doc_FSCFOLIO_1_1001_FieldDocumentNumber" par="" text=""/>
    <f:field ref="doc_FSCFOLIO_1_1001_FieldSubject" par="" edit="true" text="Vyhodnotenie medzirezortného pripomienkového konania"/>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https://ovdmasv601/sites/DMS/_layouts/15/DocIdRedir.aspx?ID=WKX3UHSAJ2R6-2-777838</Url>
      <Description>WKX3UHSAJ2R6-2-777838</Description>
    </_dlc_DocIdUrl>
    <_dlc_DocId xmlns="e60a29af-d413-48d4-bd90-fe9d2a897e4b">WKX3UHSAJ2R6-2-777838</_dlc_DocId>
  </documentManagement>
</p:properties>
</file>

<file path=customXml/itemProps1.xml><?xml version="1.0" encoding="utf-8"?>
<ds:datastoreItem xmlns:ds="http://schemas.openxmlformats.org/officeDocument/2006/customXml" ds:itemID="{4E8A9591-F074-446B-902F-511FF79C122F}"/>
</file>

<file path=customXml/itemProps2.xml><?xml version="1.0" encoding="utf-8"?>
<ds:datastoreItem xmlns:ds="http://schemas.openxmlformats.org/officeDocument/2006/customXml" ds:itemID="{0A03F795-D317-4086-A5E4-6867C8F0FD93}"/>
</file>

<file path=customXml/itemProps3.xml><?xml version="1.0" encoding="utf-8"?>
<ds:datastoreItem xmlns:ds="http://schemas.openxmlformats.org/officeDocument/2006/customXml" ds:itemID="{B8155BA2-B479-4574-8F5E-2F4FD5EDE1D8}"/>
</file>

<file path=customXml/itemProps4.xml><?xml version="1.0" encoding="utf-8"?>
<ds:datastoreItem xmlns:ds="http://schemas.openxmlformats.org/officeDocument/2006/customXml" ds:itemID="{58B5C9A3-8A51-4A74-B171-BF918599DCEA}"/>
</file>

<file path=customXml/itemProps5.xml><?xml version="1.0" encoding="utf-8"?>
<ds:datastoreItem xmlns:ds="http://schemas.openxmlformats.org/officeDocument/2006/customXml" ds:itemID="{8625B9AC-07EA-4547-B16C-235469A52F24}"/>
</file>

<file path=docProps/app.xml><?xml version="1.0" encoding="utf-8"?>
<Properties xmlns="http://schemas.openxmlformats.org/officeDocument/2006/extended-properties" xmlns:vt="http://schemas.openxmlformats.org/officeDocument/2006/docPropsVTypes">
  <Template>Normal</Template>
  <TotalTime>0</TotalTime>
  <Pages>18</Pages>
  <Words>3861</Words>
  <Characters>22013</Characters>
  <Application>Microsoft Office Word</Application>
  <DocSecurity>0</DocSecurity>
  <Lines>183</Lines>
  <Paragraphs>51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25823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2017-04-27T08:46:00Z</dcterms:created>
  <dcterms:modified xsi:type="dcterms:W3CDTF">2017-04-27T08:46:00Z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Nelegislatívny všeobecný materiál</vt:lpwstr>
  </property>
  <property fmtid="{D5CDD505-2E9C-101B-9397-08002B2CF9AE}" pid="4" name="FSC#SKEDITIONSLOVLEX@103.510:cisloparlamenttlac">
    <vt:lpwstr/>
  </property>
  <property fmtid="{D5CDD505-2E9C-101B-9397-08002B2CF9AE}" pid="5" name="FSC#SKEDITIONSLOVLEX@103.510:stavpredpis">
    <vt:lpwstr>Vyhodnotenie medzirezortného pripomienkového konania</vt:lpwstr>
  </property>
  <property fmtid="{D5CDD505-2E9C-101B-9397-08002B2CF9AE}" pid="6" name="FSC#SKEDITIONSLOVLEX@103.510:povodpredpis">
    <vt:lpwstr>Slovlex (eLeg)</vt:lpwstr>
  </property>
  <property fmtid="{D5CDD505-2E9C-101B-9397-08002B2CF9AE}" pid="7" name="FSC#SKEDITIONSLOVLEX@103.510:legoblast">
    <vt:lpwstr>Nelegislatívna oblasť</vt:lpwstr>
  </property>
  <property fmtid="{D5CDD505-2E9C-101B-9397-08002B2CF9AE}" pid="8" name="FSC#SKEDITIONSLOVLEX@103.510:uzemplat">
    <vt:lpwstr/>
  </property>
  <property fmtid="{D5CDD505-2E9C-101B-9397-08002B2CF9AE}" pid="9" name="FSC#SKEDITIONSLOVLEX@103.510:vztahypredpis">
    <vt:lpwstr/>
  </property>
  <property fmtid="{D5CDD505-2E9C-101B-9397-08002B2CF9AE}" pid="10" name="FSC#SKEDITIONSLOVLEX@103.510:predkladatel">
    <vt:lpwstr>Ing. Ján Černák</vt:lpwstr>
  </property>
  <property fmtid="{D5CDD505-2E9C-101B-9397-08002B2CF9AE}" pid="11" name="FSC#SKEDITIONSLOVLEX@103.510:zodppredkladatel">
    <vt:lpwstr>Arpád Érsek</vt:lpwstr>
  </property>
  <property fmtid="{D5CDD505-2E9C-101B-9397-08002B2CF9AE}" pid="12" name="FSC#SKEDITIONSLOVLEX@103.510:dalsipredkladatel">
    <vt:lpwstr/>
  </property>
  <property fmtid="{D5CDD505-2E9C-101B-9397-08002B2CF9AE}" pid="13" name="FSC#SKEDITIONSLOVLEX@103.510:nazovpredpis">
    <vt:lpwstr> Aktualizácia Stratégie obnovy fondu bytových a nebytových budov v Slovenskej republike </vt:lpwstr>
  </property>
  <property fmtid="{D5CDD505-2E9C-101B-9397-08002B2CF9AE}" pid="14" name="FSC#SKEDITIONSLOVLEX@103.510:nazovpredpis1">
    <vt:lpwstr/>
  </property>
  <property fmtid="{D5CDD505-2E9C-101B-9397-08002B2CF9AE}" pid="15" name="FSC#SKEDITIONSLOVLEX@103.510:nazovpredpis2">
    <vt:lpwstr/>
  </property>
  <property fmtid="{D5CDD505-2E9C-101B-9397-08002B2CF9AE}" pid="16" name="FSC#SKEDITIONSLOVLEX@103.510:nazovpredpis3">
    <vt:lpwstr/>
  </property>
  <property fmtid="{D5CDD505-2E9C-101B-9397-08002B2CF9AE}" pid="17" name="FSC#SKEDITIONSLOVLEX@103.510:cislopredpis">
    <vt:lpwstr/>
  </property>
  <property fmtid="{D5CDD505-2E9C-101B-9397-08002B2CF9AE}" pid="18" name="FSC#SKEDITIONSLOVLEX@103.510:zodpinstitucia">
    <vt:lpwstr>Ministerstvo dopravy a výstavby Slovenskej republiky</vt:lpwstr>
  </property>
  <property fmtid="{D5CDD505-2E9C-101B-9397-08002B2CF9AE}" pid="19" name="FSC#SKEDITIONSLOVLEX@103.510:pripomienkovatelia">
    <vt:lpwstr/>
  </property>
  <property fmtid="{D5CDD505-2E9C-101B-9397-08002B2CF9AE}" pid="20" name="FSC#SKEDITIONSLOVLEX@103.510:autorpredpis">
    <vt:lpwstr/>
  </property>
  <property fmtid="{D5CDD505-2E9C-101B-9397-08002B2CF9AE}" pid="21" name="FSC#SKEDITIONSLOVLEX@103.510:podnetpredpis">
    <vt:lpwstr>Na základe § 9 zákona_x000d_
č. 321/2014 Z. z.  _x000d_
</vt:lpwstr>
  </property>
  <property fmtid="{D5CDD505-2E9C-101B-9397-08002B2CF9AE}" pid="22" name="FSC#SKEDITIONSLOVLEX@103.510:plnynazovpredpis">
    <vt:lpwstr> Aktualizácia Stratégie obnovy fondu bytových a nebytových budov v Slovenskej republike </vt:lpwstr>
  </property>
  <property fmtid="{D5CDD505-2E9C-101B-9397-08002B2CF9AE}" pid="23" name="FSC#SKEDITIONSLOVLEX@103.510:plnynazovpredpis1">
    <vt:lpwstr/>
  </property>
  <property fmtid="{D5CDD505-2E9C-101B-9397-08002B2CF9AE}" pid="24" name="FSC#SKEDITIONSLOVLEX@103.510:plnynazovpredpis2">
    <vt:lpwstr/>
  </property>
  <property fmtid="{D5CDD505-2E9C-101B-9397-08002B2CF9AE}" pid="25" name="FSC#SKEDITIONSLOVLEX@103.510:plnynazovpredpis3">
    <vt:lpwstr/>
  </property>
  <property fmtid="{D5CDD505-2E9C-101B-9397-08002B2CF9AE}" pid="26" name="FSC#SKEDITIONSLOVLEX@103.510:rezortcislopredpis">
    <vt:lpwstr>11743/2017/B610-SV/22811-M </vt:lpwstr>
  </property>
  <property fmtid="{D5CDD505-2E9C-101B-9397-08002B2CF9AE}" pid="27" name="FSC#SKEDITIONSLOVLEX@103.510:citaciapredpis">
    <vt:lpwstr/>
  </property>
  <property fmtid="{D5CDD505-2E9C-101B-9397-08002B2CF9AE}" pid="28" name="FSC#SKEDITIONSLOVLEX@103.510:spiscislouv">
    <vt:lpwstr/>
  </property>
  <property fmtid="{D5CDD505-2E9C-101B-9397-08002B2CF9AE}" pid="29" name="FSC#SKEDITIONSLOVLEX@103.510:datumschvalpredpis">
    <vt:lpwstr/>
  </property>
  <property fmtid="{D5CDD505-2E9C-101B-9397-08002B2CF9AE}" pid="30" name="FSC#SKEDITIONSLOVLEX@103.510:platneod">
    <vt:lpwstr/>
  </property>
  <property fmtid="{D5CDD505-2E9C-101B-9397-08002B2CF9AE}" pid="31" name="FSC#SKEDITIONSLOVLEX@103.510:platnedo">
    <vt:lpwstr/>
  </property>
  <property fmtid="{D5CDD505-2E9C-101B-9397-08002B2CF9AE}" pid="32" name="FSC#SKEDITIONSLOVLEX@103.510:ucinnostod">
    <vt:lpwstr/>
  </property>
  <property fmtid="{D5CDD505-2E9C-101B-9397-08002B2CF9AE}" pid="33" name="FSC#SKEDITIONSLOVLEX@103.510:ucinnostdo">
    <vt:lpwstr/>
  </property>
  <property fmtid="{D5CDD505-2E9C-101B-9397-08002B2CF9AE}" pid="34" name="FSC#SKEDITIONSLOVLEX@103.510:datumplatnosti">
    <vt:lpwstr/>
  </property>
  <property fmtid="{D5CDD505-2E9C-101B-9397-08002B2CF9AE}" pid="35" name="FSC#SKEDITIONSLOVLEX@103.510:cislolp">
    <vt:lpwstr>LP/2017/219</vt:lpwstr>
  </property>
  <property fmtid="{D5CDD505-2E9C-101B-9397-08002B2CF9AE}" pid="36" name="FSC#SKEDITIONSLOVLEX@103.510:typsprievdok">
    <vt:lpwstr>Vyhodnotenie medzirezortného pripomienkového konania</vt:lpwstr>
  </property>
  <property fmtid="{D5CDD505-2E9C-101B-9397-08002B2CF9AE}" pid="37" name="FSC#SKEDITIONSLOVLEX@103.510:cislopartlac">
    <vt:lpwstr/>
  </property>
  <property fmtid="{D5CDD505-2E9C-101B-9397-08002B2CF9AE}" pid="38" name="FSC#SKEDITIONSLOVLEX@103.510:AttrStrListDocPropUcelPredmetZmluvy">
    <vt:lpwstr/>
  </property>
  <property fmtid="{D5CDD505-2E9C-101B-9397-08002B2CF9AE}" pid="39" name="FSC#SKEDITIONSLOVLEX@103.510:AttrStrListDocPropUpravaPravFOPRO">
    <vt:lpwstr/>
  </property>
  <property fmtid="{D5CDD505-2E9C-101B-9397-08002B2CF9AE}" pid="40" name="FSC#SKEDITIONSLOVLEX@103.510:AttrStrListDocPropUpravaPredmetuZmluvy">
    <vt:lpwstr/>
  </property>
  <property fmtid="{D5CDD505-2E9C-101B-9397-08002B2CF9AE}" pid="41" name="FSC#SKEDITIONSLOVLEX@103.510:AttrStrListDocPropKategoriaZmluvy74">
    <vt:lpwstr/>
  </property>
  <property fmtid="{D5CDD505-2E9C-101B-9397-08002B2CF9AE}" pid="42" name="FSC#SKEDITIONSLOVLEX@103.510:AttrStrListDocPropKategoriaZmluvy75">
    <vt:lpwstr/>
  </property>
  <property fmtid="{D5CDD505-2E9C-101B-9397-08002B2CF9AE}" pid="43" name="FSC#SKEDITIONSLOVLEX@103.510:AttrStrListDocPropDopadyPrijatiaZmluvy">
    <vt:lpwstr/>
  </property>
  <property fmtid="{D5CDD505-2E9C-101B-9397-08002B2CF9AE}" pid="44" name="FSC#SKEDITIONSLOVLEX@103.510:AttrStrListDocPropProblematikaPPa">
    <vt:lpwstr/>
  </property>
  <property fmtid="{D5CDD505-2E9C-101B-9397-08002B2CF9AE}" pid="45" name="FSC#SKEDITIONSLOVLEX@103.510:AttrStrListDocPropPrimarnePravoEU">
    <vt:lpwstr/>
  </property>
  <property fmtid="{D5CDD505-2E9C-101B-9397-08002B2CF9AE}" pid="46" name="FSC#SKEDITIONSLOVLEX@103.510:AttrStrListDocPropSekundarneLegPravoPO">
    <vt:lpwstr/>
  </property>
  <property fmtid="{D5CDD505-2E9C-101B-9397-08002B2CF9AE}" pid="47" name="FSC#SKEDITIONSLOVLEX@103.510:AttrStrListDocPropSekundarneNelegPravoPO">
    <vt:lpwstr/>
  </property>
  <property fmtid="{D5CDD505-2E9C-101B-9397-08002B2CF9AE}" pid="48" name="FSC#SKEDITIONSLOVLEX@103.510:AttrStrListDocPropSekundarneLegPravoDO">
    <vt:lpwstr/>
  </property>
  <property fmtid="{D5CDD505-2E9C-101B-9397-08002B2CF9AE}" pid="49" name="FSC#SKEDITIONSLOVLEX@103.510:AttrStrListDocPropProblematikaPPb">
    <vt:lpwstr/>
  </property>
  <property fmtid="{D5CDD505-2E9C-101B-9397-08002B2CF9AE}" pid="50" name="FSC#SKEDITIONSLOVLEX@103.510:AttrStrListDocPropNazovPredpisuEU">
    <vt:lpwstr/>
  </property>
  <property fmtid="{D5CDD505-2E9C-101B-9397-08002B2CF9AE}" pid="51" name="FSC#SKEDITIONSLOVLEX@103.510:AttrStrListDocPropLehotaPrebratieSmernice">
    <vt:lpwstr/>
  </property>
  <property fmtid="{D5CDD505-2E9C-101B-9397-08002B2CF9AE}" pid="52" name="FSC#SKEDITIONSLOVLEX@103.510:AttrStrListDocPropLehotaNaPredlozenie">
    <vt:lpwstr/>
  </property>
  <property fmtid="{D5CDD505-2E9C-101B-9397-08002B2CF9AE}" pid="53" name="FSC#SKEDITIONSLOVLEX@103.510:AttrStrListDocPropInfoZaciatokKonania">
    <vt:lpwstr/>
  </property>
  <property fmtid="{D5CDD505-2E9C-101B-9397-08002B2CF9AE}" pid="54" name="FSC#SKEDITIONSLOVLEX@103.510:AttrStrListDocPropInfoUzPreberanePP">
    <vt:lpwstr/>
  </property>
  <property fmtid="{D5CDD505-2E9C-101B-9397-08002B2CF9AE}" pid="55" name="FSC#SKEDITIONSLOVLEX@103.510:AttrStrListDocPropStupenZlucitelnostiPP">
    <vt:lpwstr/>
  </property>
  <property fmtid="{D5CDD505-2E9C-101B-9397-08002B2CF9AE}" pid="56" name="FSC#SKEDITIONSLOVLEX@103.510:AttrStrListDocPropGestorSpolupRezorty">
    <vt:lpwstr/>
  </property>
  <property fmtid="{D5CDD505-2E9C-101B-9397-08002B2CF9AE}" pid="57" name="FSC#SKEDITIONSLOVLEX@103.510:AttrDateDocPropZaciatokPKK">
    <vt:lpwstr/>
  </property>
  <property fmtid="{D5CDD505-2E9C-101B-9397-08002B2CF9AE}" pid="58" name="FSC#SKEDITIONSLOVLEX@103.510:AttrDateDocPropUkonceniePKK">
    <vt:lpwstr/>
  </property>
  <property fmtid="{D5CDD505-2E9C-101B-9397-08002B2CF9AE}" pid="59" name="FSC#SKEDITIONSLOVLEX@103.510:AttrStrDocPropVplyvRozpocetVS">
    <vt:lpwstr>Žiadne</vt:lpwstr>
  </property>
  <property fmtid="{D5CDD505-2E9C-101B-9397-08002B2CF9AE}" pid="60" name="FSC#SKEDITIONSLOVLEX@103.510:AttrStrDocPropVplyvPodnikatelskeProstr">
    <vt:lpwstr>Žiadne</vt:lpwstr>
  </property>
  <property fmtid="{D5CDD505-2E9C-101B-9397-08002B2CF9AE}" pid="61" name="FSC#SKEDITIONSLOVLEX@103.510:AttrStrDocPropVplyvSocialny">
    <vt:lpwstr>Žiadne</vt:lpwstr>
  </property>
  <property fmtid="{D5CDD505-2E9C-101B-9397-08002B2CF9AE}" pid="62" name="FSC#SKEDITIONSLOVLEX@103.510:AttrStrDocPropVplyvNaZivotProstr">
    <vt:lpwstr>Žiadne</vt:lpwstr>
  </property>
  <property fmtid="{D5CDD505-2E9C-101B-9397-08002B2CF9AE}" pid="63" name="FSC#SKEDITIONSLOVLEX@103.510:AttrStrDocPropVplyvNaInformatizaciu">
    <vt:lpwstr>Žiadne</vt:lpwstr>
  </property>
  <property fmtid="{D5CDD505-2E9C-101B-9397-08002B2CF9AE}" pid="64" name="FSC#SKEDITIONSLOVLEX@103.510:AttrStrListDocPropPoznamkaVplyv">
    <vt:lpwstr>Návrh aktualizácie nemení pôvodné vplyvy  Stratégie obnovy fondu bytových a nebytových budov v Slovenskej republike a preto nie sú analyzované.</vt:lpwstr>
  </property>
  <property fmtid="{D5CDD505-2E9C-101B-9397-08002B2CF9AE}" pid="65" name="FSC#SKEDITIONSLOVLEX@103.510:AttrStrListDocPropAltRiesenia">
    <vt:lpwstr>Žiadne</vt:lpwstr>
  </property>
  <property fmtid="{D5CDD505-2E9C-101B-9397-08002B2CF9AE}" pid="66" name="FSC#SKEDITIONSLOVLEX@103.510:AttrStrListDocPropStanoviskoGest">
    <vt:lpwstr/>
  </property>
  <property fmtid="{D5CDD505-2E9C-101B-9397-08002B2CF9AE}" pid="67" name="FSC#SKEDITIONSLOVLEX@103.510:AttrStrListDocPropTextKomunike">
    <vt:lpwstr>Vláda Slovenskej republiky na svojom rokovaní dňa ....................... prerokovala a schválila materiál Aktualizácia Stratégie obnovy fondu bytových a nebytových budov v Slovenskej republike .</vt:lpwstr>
  </property>
  <property fmtid="{D5CDD505-2E9C-101B-9397-08002B2CF9AE}" pid="68" name="FSC#SKEDITIONSLOVLEX@103.510:AttrStrListDocPropUznesenieCastA">
    <vt:lpwstr/>
  </property>
  <property fmtid="{D5CDD505-2E9C-101B-9397-08002B2CF9AE}" pid="69" name="FSC#SKEDITIONSLOVLEX@103.510:AttrStrListDocPropUznesenieZodpovednyA1">
    <vt:lpwstr/>
  </property>
  <property fmtid="{D5CDD505-2E9C-101B-9397-08002B2CF9AE}" pid="70" name="FSC#SKEDITIONSLOVLEX@103.510:AttrStrListDocPropUznesenieTextA1">
    <vt:lpwstr/>
  </property>
  <property fmtid="{D5CDD505-2E9C-101B-9397-08002B2CF9AE}" pid="71" name="FSC#SKEDITIONSLOVLEX@103.510:AttrStrListDocPropUznesenieTerminA1">
    <vt:lpwstr/>
  </property>
  <property fmtid="{D5CDD505-2E9C-101B-9397-08002B2CF9AE}" pid="72" name="FSC#SKEDITIONSLOVLEX@103.510:AttrStrListDocPropUznesenieBODA1">
    <vt:lpwstr/>
  </property>
  <property fmtid="{D5CDD505-2E9C-101B-9397-08002B2CF9AE}" pid="73" name="FSC#SKEDITIONSLOVLEX@103.510:AttrStrListDocPropUznesenieZodpovednyA2">
    <vt:lpwstr/>
  </property>
  <property fmtid="{D5CDD505-2E9C-101B-9397-08002B2CF9AE}" pid="74" name="FSC#SKEDITIONSLOVLEX@103.510:AttrStrListDocPropUznesenieTextA2">
    <vt:lpwstr/>
  </property>
  <property fmtid="{D5CDD505-2E9C-101B-9397-08002B2CF9AE}" pid="75" name="FSC#SKEDITIONSLOVLEX@103.510:AttrStrListDocPropUznesenieTerminA2">
    <vt:lpwstr/>
  </property>
  <property fmtid="{D5CDD505-2E9C-101B-9397-08002B2CF9AE}" pid="76" name="FSC#SKEDITIONSLOVLEX@103.510:AttrStrListDocPropUznesenieBODA3">
    <vt:lpwstr/>
  </property>
  <property fmtid="{D5CDD505-2E9C-101B-9397-08002B2CF9AE}" pid="77" name="FSC#SKEDITIONSLOVLEX@103.510:AttrStrListDocPropUznesenieZodpovednyA3">
    <vt:lpwstr/>
  </property>
  <property fmtid="{D5CDD505-2E9C-101B-9397-08002B2CF9AE}" pid="78" name="FSC#SKEDITIONSLOVLEX@103.510:AttrStrListDocPropUznesenieTextA3">
    <vt:lpwstr/>
  </property>
  <property fmtid="{D5CDD505-2E9C-101B-9397-08002B2CF9AE}" pid="79" name="FSC#SKEDITIONSLOVLEX@103.510:AttrStrListDocPropUznesenieTerminA3">
    <vt:lpwstr/>
  </property>
  <property fmtid="{D5CDD505-2E9C-101B-9397-08002B2CF9AE}" pid="80" name="FSC#SKEDITIONSLOVLEX@103.510:AttrStrListDocPropUznesenieBODA4">
    <vt:lpwstr/>
  </property>
  <property fmtid="{D5CDD505-2E9C-101B-9397-08002B2CF9AE}" pid="81" name="FSC#SKEDITIONSLOVLEX@103.510:AttrStrListDocPropUznesenieZodpovednyA4">
    <vt:lpwstr/>
  </property>
  <property fmtid="{D5CDD505-2E9C-101B-9397-08002B2CF9AE}" pid="82" name="FSC#SKEDITIONSLOVLEX@103.510:AttrStrListDocPropUznesenieTextA4">
    <vt:lpwstr/>
  </property>
  <property fmtid="{D5CDD505-2E9C-101B-9397-08002B2CF9AE}" pid="83" name="FSC#SKEDITIONSLOVLEX@103.510:AttrStrListDocPropUznesenieTerminA4">
    <vt:lpwstr/>
  </property>
  <property fmtid="{D5CDD505-2E9C-101B-9397-08002B2CF9AE}" pid="84" name="FSC#SKEDITIONSLOVLEX@103.510:AttrStrListDocPropUznesenieCastB">
    <vt:lpwstr/>
  </property>
  <property fmtid="{D5CDD505-2E9C-101B-9397-08002B2CF9AE}" pid="85" name="FSC#SKEDITIONSLOVLEX@103.510:AttrStrListDocPropUznesenieBODB1">
    <vt:lpwstr/>
  </property>
  <property fmtid="{D5CDD505-2E9C-101B-9397-08002B2CF9AE}" pid="86" name="FSC#SKEDITIONSLOVLEX@103.510:AttrStrListDocPropUznesenieZodpovednyB1">
    <vt:lpwstr/>
  </property>
  <property fmtid="{D5CDD505-2E9C-101B-9397-08002B2CF9AE}" pid="87" name="FSC#SKEDITIONSLOVLEX@103.510:AttrStrListDocPropUznesenieTextB1">
    <vt:lpwstr/>
  </property>
  <property fmtid="{D5CDD505-2E9C-101B-9397-08002B2CF9AE}" pid="88" name="FSC#SKEDITIONSLOVLEX@103.510:AttrStrListDocPropUznesenieTerminB1">
    <vt:lpwstr/>
  </property>
  <property fmtid="{D5CDD505-2E9C-101B-9397-08002B2CF9AE}" pid="89" name="FSC#SKEDITIONSLOVLEX@103.510:AttrStrListDocPropUznesenieBODB2">
    <vt:lpwstr/>
  </property>
  <property fmtid="{D5CDD505-2E9C-101B-9397-08002B2CF9AE}" pid="90" name="FSC#SKEDITIONSLOVLEX@103.510:AttrStrListDocPropUznesenieZodpovednyB2">
    <vt:lpwstr/>
  </property>
  <property fmtid="{D5CDD505-2E9C-101B-9397-08002B2CF9AE}" pid="91" name="FSC#SKEDITIONSLOVLEX@103.510:AttrStrListDocPropUznesenieTextB2">
    <vt:lpwstr/>
  </property>
  <property fmtid="{D5CDD505-2E9C-101B-9397-08002B2CF9AE}" pid="92" name="FSC#SKEDITIONSLOVLEX@103.510:AttrStrListDocPropUznesenieTerminB2">
    <vt:lpwstr/>
  </property>
  <property fmtid="{D5CDD505-2E9C-101B-9397-08002B2CF9AE}" pid="93" name="FSC#SKEDITIONSLOVLEX@103.510:AttrStrListDocPropUznesenieBODB3">
    <vt:lpwstr/>
  </property>
  <property fmtid="{D5CDD505-2E9C-101B-9397-08002B2CF9AE}" pid="94" name="FSC#SKEDITIONSLOVLEX@103.510:AttrStrListDocPropUznesenieZodpovednyB3">
    <vt:lpwstr/>
  </property>
  <property fmtid="{D5CDD505-2E9C-101B-9397-08002B2CF9AE}" pid="95" name="FSC#SKEDITIONSLOVLEX@103.510:AttrStrListDocPropUznesenieTextB3">
    <vt:lpwstr/>
  </property>
  <property fmtid="{D5CDD505-2E9C-101B-9397-08002B2CF9AE}" pid="96" name="FSC#SKEDITIONSLOVLEX@103.510:AttrStrListDocPropUznesenieTerminB3">
    <vt:lpwstr/>
  </property>
  <property fmtid="{D5CDD505-2E9C-101B-9397-08002B2CF9AE}" pid="97" name="FSC#SKEDITIONSLOVLEX@103.510:AttrStrListDocPropUznesenieBODB4">
    <vt:lpwstr/>
  </property>
  <property fmtid="{D5CDD505-2E9C-101B-9397-08002B2CF9AE}" pid="98" name="FSC#SKEDITIONSLOVLEX@103.510:AttrStrListDocPropUznesenieZodpovednyB4">
    <vt:lpwstr/>
  </property>
  <property fmtid="{D5CDD505-2E9C-101B-9397-08002B2CF9AE}" pid="99" name="FSC#SKEDITIONSLOVLEX@103.510:AttrStrListDocPropUznesenieTextB4">
    <vt:lpwstr/>
  </property>
  <property fmtid="{D5CDD505-2E9C-101B-9397-08002B2CF9AE}" pid="100" name="FSC#SKEDITIONSLOVLEX@103.510:AttrStrListDocPropUznesenieTerminB4">
    <vt:lpwstr/>
  </property>
  <property fmtid="{D5CDD505-2E9C-101B-9397-08002B2CF9AE}" pid="101" name="FSC#SKEDITIONSLOVLEX@103.510:AttrStrListDocPropUznesenieCastC">
    <vt:lpwstr/>
  </property>
  <property fmtid="{D5CDD505-2E9C-101B-9397-08002B2CF9AE}" pid="102" name="FSC#SKEDITIONSLOVLEX@103.510:AttrStrListDocPropUznesenieBODC1">
    <vt:lpwstr/>
  </property>
  <property fmtid="{D5CDD505-2E9C-101B-9397-08002B2CF9AE}" pid="103" name="FSC#SKEDITIONSLOVLEX@103.510:AttrStrListDocPropUznesenieZodpovednyC1">
    <vt:lpwstr/>
  </property>
  <property fmtid="{D5CDD505-2E9C-101B-9397-08002B2CF9AE}" pid="104" name="FSC#SKEDITIONSLOVLEX@103.510:AttrStrListDocPropUznesenieTextC1">
    <vt:lpwstr/>
  </property>
  <property fmtid="{D5CDD505-2E9C-101B-9397-08002B2CF9AE}" pid="105" name="FSC#SKEDITIONSLOVLEX@103.510:AttrStrListDocPropUznesenieTerminC1">
    <vt:lpwstr/>
  </property>
  <property fmtid="{D5CDD505-2E9C-101B-9397-08002B2CF9AE}" pid="106" name="FSC#SKEDITIONSLOVLEX@103.510:AttrStrListDocPropUznesenieBODC2">
    <vt:lpwstr/>
  </property>
  <property fmtid="{D5CDD505-2E9C-101B-9397-08002B2CF9AE}" pid="107" name="FSC#SKEDITIONSLOVLEX@103.510:AttrStrListDocPropUznesenieZodpovednyC2">
    <vt:lpwstr/>
  </property>
  <property fmtid="{D5CDD505-2E9C-101B-9397-08002B2CF9AE}" pid="108" name="FSC#SKEDITIONSLOVLEX@103.510:AttrStrListDocPropUznesenieTextC2">
    <vt:lpwstr/>
  </property>
  <property fmtid="{D5CDD505-2E9C-101B-9397-08002B2CF9AE}" pid="109" name="FSC#SKEDITIONSLOVLEX@103.510:AttrStrListDocPropUznesenieTerminC2">
    <vt:lpwstr/>
  </property>
  <property fmtid="{D5CDD505-2E9C-101B-9397-08002B2CF9AE}" pid="110" name="FSC#SKEDITIONSLOVLEX@103.510:AttrStrListDocPropUznesenieBODC3">
    <vt:lpwstr/>
  </property>
  <property fmtid="{D5CDD505-2E9C-101B-9397-08002B2CF9AE}" pid="111" name="FSC#SKEDITIONSLOVLEX@103.510:AttrStrListDocPropUznesenieZodpovednyC3">
    <vt:lpwstr/>
  </property>
  <property fmtid="{D5CDD505-2E9C-101B-9397-08002B2CF9AE}" pid="112" name="FSC#SKEDITIONSLOVLEX@103.510:AttrStrListDocPropUznesenieTextC3">
    <vt:lpwstr/>
  </property>
  <property fmtid="{D5CDD505-2E9C-101B-9397-08002B2CF9AE}" pid="113" name="FSC#SKEDITIONSLOVLEX@103.510:AttrStrListDocPropUznesenieTerminC3">
    <vt:lpwstr/>
  </property>
  <property fmtid="{D5CDD505-2E9C-101B-9397-08002B2CF9AE}" pid="114" name="FSC#SKEDITIONSLOVLEX@103.510:AttrStrListDocPropUznesenieBODC4">
    <vt:lpwstr/>
  </property>
  <property fmtid="{D5CDD505-2E9C-101B-9397-08002B2CF9AE}" pid="115" name="FSC#SKEDITIONSLOVLEX@103.510:AttrStrListDocPropUznesenieZodpovednyC4">
    <vt:lpwstr/>
  </property>
  <property fmtid="{D5CDD505-2E9C-101B-9397-08002B2CF9AE}" pid="116" name="FSC#SKEDITIONSLOVLEX@103.510:AttrStrListDocPropUznesenieTextC4">
    <vt:lpwstr/>
  </property>
  <property fmtid="{D5CDD505-2E9C-101B-9397-08002B2CF9AE}" pid="117" name="FSC#SKEDITIONSLOVLEX@103.510:AttrStrListDocPropUznesenieTerminC4">
    <vt:lpwstr/>
  </property>
  <property fmtid="{D5CDD505-2E9C-101B-9397-08002B2CF9AE}" pid="118" name="FSC#SKEDITIONSLOVLEX@103.510:AttrStrListDocPropUznesenieCastD">
    <vt:lpwstr/>
  </property>
  <property fmtid="{D5CDD505-2E9C-101B-9397-08002B2CF9AE}" pid="119" name="FSC#SKEDITIONSLOVLEX@103.510:AttrStrListDocPropUznesenieBODD1">
    <vt:lpwstr/>
  </property>
  <property fmtid="{D5CDD505-2E9C-101B-9397-08002B2CF9AE}" pid="120" name="FSC#SKEDITIONSLOVLEX@103.510:AttrStrListDocPropUznesenieZodpovednyD1">
    <vt:lpwstr/>
  </property>
  <property fmtid="{D5CDD505-2E9C-101B-9397-08002B2CF9AE}" pid="121" name="FSC#SKEDITIONSLOVLEX@103.510:AttrStrListDocPropUznesenieTextD1">
    <vt:lpwstr/>
  </property>
  <property fmtid="{D5CDD505-2E9C-101B-9397-08002B2CF9AE}" pid="122" name="FSC#SKEDITIONSLOVLEX@103.510:AttrStrListDocPropUznesenieTerminD1">
    <vt:lpwstr/>
  </property>
  <property fmtid="{D5CDD505-2E9C-101B-9397-08002B2CF9AE}" pid="123" name="FSC#SKEDITIONSLOVLEX@103.510:AttrStrListDocPropUznesenieBODD2">
    <vt:lpwstr/>
  </property>
  <property fmtid="{D5CDD505-2E9C-101B-9397-08002B2CF9AE}" pid="124" name="FSC#SKEDITIONSLOVLEX@103.510:AttrStrListDocPropUznesenieZodpovednyD2">
    <vt:lpwstr/>
  </property>
  <property fmtid="{D5CDD505-2E9C-101B-9397-08002B2CF9AE}" pid="125" name="FSC#SKEDITIONSLOVLEX@103.510:AttrStrListDocPropUznesenieTextD2">
    <vt:lpwstr/>
  </property>
  <property fmtid="{D5CDD505-2E9C-101B-9397-08002B2CF9AE}" pid="126" name="FSC#SKEDITIONSLOVLEX@103.510:AttrStrListDocPropUznesenieTerminD2">
    <vt:lpwstr/>
  </property>
  <property fmtid="{D5CDD505-2E9C-101B-9397-08002B2CF9AE}" pid="127" name="FSC#SKEDITIONSLOVLEX@103.510:AttrStrListDocPropUznesenieBODD3">
    <vt:lpwstr/>
  </property>
  <property fmtid="{D5CDD505-2E9C-101B-9397-08002B2CF9AE}" pid="128" name="FSC#SKEDITIONSLOVLEX@103.510:AttrStrListDocPropUznesenieZodpovednyD3">
    <vt:lpwstr/>
  </property>
  <property fmtid="{D5CDD505-2E9C-101B-9397-08002B2CF9AE}" pid="129" name="FSC#SKEDITIONSLOVLEX@103.510:AttrStrListDocPropUznesenieTextD3">
    <vt:lpwstr/>
  </property>
  <property fmtid="{D5CDD505-2E9C-101B-9397-08002B2CF9AE}" pid="130" name="FSC#SKEDITIONSLOVLEX@103.510:AttrStrListDocPropUznesenieTerminD3">
    <vt:lpwstr/>
  </property>
  <property fmtid="{D5CDD505-2E9C-101B-9397-08002B2CF9AE}" pid="131" name="FSC#SKEDITIONSLOVLEX@103.510:AttrStrListDocPropUznesenieBODD4">
    <vt:lpwstr/>
  </property>
  <property fmtid="{D5CDD505-2E9C-101B-9397-08002B2CF9AE}" pid="132" name="FSC#SKEDITIONSLOVLEX@103.510:AttrStrListDocPropUznesenieZodpovednyD4">
    <vt:lpwstr/>
  </property>
  <property fmtid="{D5CDD505-2E9C-101B-9397-08002B2CF9AE}" pid="133" name="FSC#SKEDITIONSLOVLEX@103.510:AttrStrListDocPropUznesenieTextD4">
    <vt:lpwstr/>
  </property>
  <property fmtid="{D5CDD505-2E9C-101B-9397-08002B2CF9AE}" pid="134" name="FSC#SKEDITIONSLOVLEX@103.510:AttrStrListDocPropUznesenieTerminD4">
    <vt:lpwstr/>
  </property>
  <property fmtid="{D5CDD505-2E9C-101B-9397-08002B2CF9AE}" pid="135" name="FSC#SKEDITIONSLOVLEX@103.510:AttrStrListDocPropUznesenieVykonaju">
    <vt:lpwstr/>
  </property>
  <property fmtid="{D5CDD505-2E9C-101B-9397-08002B2CF9AE}" pid="136" name="FSC#SKEDITIONSLOVLEX@103.510:AttrStrListDocPropUznesenieNaVedomie">
    <vt:lpwstr/>
  </property>
  <property fmtid="{D5CDD505-2E9C-101B-9397-08002B2CF9AE}" pid="137" name="FSC#SKEDITIONSLOVLEX@103.510:funkciaPred">
    <vt:lpwstr>hl. št. radca</vt:lpwstr>
  </property>
  <property fmtid="{D5CDD505-2E9C-101B-9397-08002B2CF9AE}" pid="138" name="FSC#SKEDITIONSLOVLEX@103.510:funkciaPredAkuzativ">
    <vt:lpwstr>hl. št. radcu</vt:lpwstr>
  </property>
  <property fmtid="{D5CDD505-2E9C-101B-9397-08002B2CF9AE}" pid="139" name="FSC#SKEDITIONSLOVLEX@103.510:funkciaPredDativ">
    <vt:lpwstr>hl. št. radcovi</vt:lpwstr>
  </property>
  <property fmtid="{D5CDD505-2E9C-101B-9397-08002B2CF9AE}" pid="140" name="FSC#SKEDITIONSLOVLEX@103.510:funkciaZodpPred">
    <vt:lpwstr>minister dopravy a výstavby Slovenskej republiky</vt:lpwstr>
  </property>
  <property fmtid="{D5CDD505-2E9C-101B-9397-08002B2CF9AE}" pid="141" name="FSC#SKEDITIONSLOVLEX@103.510:funkciaZodpPredAkuzativ">
    <vt:lpwstr>ministra dopravy a výstavby Slovenskej republiky</vt:lpwstr>
  </property>
  <property fmtid="{D5CDD505-2E9C-101B-9397-08002B2CF9AE}" pid="142" name="FSC#SKEDITIONSLOVLEX@103.510:funkciaZodpPredDativ">
    <vt:lpwstr>ministrovi dopravy a výstavby Slovenskej republiky</vt:lpwstr>
  </property>
  <property fmtid="{D5CDD505-2E9C-101B-9397-08002B2CF9AE}" pid="143" name="FSC#SKEDITIONSLOVLEX@103.510:funkciaDalsiPred">
    <vt:lpwstr/>
  </property>
  <property fmtid="{D5CDD505-2E9C-101B-9397-08002B2CF9AE}" pid="144" name="FSC#SKEDITIONSLOVLEX@103.510:funkciaDalsiPredAkuzativ">
    <vt:lpwstr/>
  </property>
  <property fmtid="{D5CDD505-2E9C-101B-9397-08002B2CF9AE}" pid="145" name="FSC#SKEDITIONSLOVLEX@103.510:funkciaDalsiPredDativ">
    <vt:lpwstr/>
  </property>
  <property fmtid="{D5CDD505-2E9C-101B-9397-08002B2CF9AE}" pid="146" name="FSC#SKEDITIONSLOVLEX@103.510:predkladateliaObalSD">
    <vt:lpwstr>Arpád Érsek_x000d_
minister dopravy a výstavby Slovenskej republiky</vt:lpwstr>
  </property>
  <property fmtid="{D5CDD505-2E9C-101B-9397-08002B2CF9AE}" pid="147" name="FSC#SKEDITIONSLOVLEX@103.510:AttrStrListDocPropTextVseobPrilohy">
    <vt:lpwstr/>
  </property>
  <property fmtid="{D5CDD505-2E9C-101B-9397-08002B2CF9AE}" pid="148" name="FSC#SKEDITIONSLOVLEX@103.510:AttrStrListDocPropTextPredklSpravy">
    <vt:lpwstr>&lt;p&gt;Ministerstvo dopravy a výstavby Slovenskej republiky (ďalej len „ministerstvo“) predkladá na rokovanie vlády Slovenskej republiky materiál „Aktualizácia Stratégie obnovy fondu bytových a&amp;nbsp;nebytových budov v&amp;nbsp;Slovenskej republike“ (ďalej len „st</vt:lpwstr>
  </property>
  <property fmtid="{D5CDD505-2E9C-101B-9397-08002B2CF9AE}" pid="149" name="FSC#COOSYSTEM@1.1:Container">
    <vt:lpwstr>COO.2145.1000.3.1939213</vt:lpwstr>
  </property>
  <property fmtid="{D5CDD505-2E9C-101B-9397-08002B2CF9AE}" pid="150" name="FSC#FSCFOLIO@1.1001:docpropproject">
    <vt:lpwstr/>
  </property>
  <property fmtid="{D5CDD505-2E9C-101B-9397-08002B2CF9AE}" pid="151" name="FSC#SKEDITIONSLOVLEX@103.510:aktualnyrok">
    <vt:lpwstr>2017</vt:lpwstr>
  </property>
  <property fmtid="{D5CDD505-2E9C-101B-9397-08002B2CF9AE}" pid="152" name="ContentTypeId">
    <vt:lpwstr>0x0101006C0C8C3C1E3DCC44BECE3792677AD011</vt:lpwstr>
  </property>
  <property fmtid="{D5CDD505-2E9C-101B-9397-08002B2CF9AE}" pid="153" name="_dlc_DocIdItemGuid">
    <vt:lpwstr>33b8fe8e-033c-4da8-a7a0-28a9d7aecfcf</vt:lpwstr>
  </property>
</Properties>
</file>